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AWV 2013 — Meldungen der Geldinstitute</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(1) Inländische Geldinstitute haben der Deutschen Bundesbank in der Frist des § 71 Absatz 6 zu melden:</w:t>
      </w:r>
    </w:p>
    <w:p>
      <w:pPr>
        <w:ind w:left="420"/>
      </w:pPr>
      <w:r>
        <w:t xml:space="preserve">1. Zahlungen für die Veräußerung oder den Erwerb von Wertpapieren und Finanzderivaten, die das Geldinstitut für eigene oder fremde Rechnung an Ausländer verkauft oder von Ausländern kauft, sowie Zahlungen, die das Geldinstitut im Zusammenhang mit der Einlösung inländischer Wertpapiere an Ausländer leistet oder von diesen erhält; in den Meldungen müssen die Angaben gemäß Anlage 6 enthalten sein;</w:t>
      </w:r>
    </w:p>
    <w:p>
      <w:pPr>
        <w:ind w:left="420"/>
      </w:pPr>
      <w:r>
        <w:t xml:space="preserve">2. Zins- und Dividendenzahlungen auf inländische Wertpapiere, die sie an Ausländer leisten oder von diesen erhalten; in den Meldungen müssen die Angaben gemäß Anlage 5 enthalten sein;</w:t>
      </w:r>
    </w:p>
    <w:p>
      <w:pPr>
        <w:ind w:left="420"/>
      </w:pPr>
      <w:r>
        <w:t xml:space="preserve">3. im Zusammenhang mit dem Reiseverkehr ein- und ausgehende Zahlungen aus Kartenumsätzen; in den Meldungen müssen die Angaben nach Anlage 7 enthalten sein.</w:t>
      </w:r>
    </w:p>
    <w:p>
      <w:r>
        <w:t xml:space="preserve">(2) Geldinstitute im Sinne des Absatzes 1 sind</w:t>
      </w:r>
    </w:p>
    <w:p>
      <w:pPr>
        <w:ind w:left="420"/>
      </w:pPr>
      <w:r>
        <w:t xml:space="preserve">1. Monetäre Finanzinstitute nach Artikel 1 erster Gedankenstrich der Verordnung (EG) Nr. 25/2009 mit Ausnahme von Geldmarktfonds,</w:t>
      </w:r>
    </w:p>
    <w:p>
      <w:pPr>
        <w:ind w:left="420"/>
      </w:pPr>
      <w:r>
        <w:t xml:space="preserve">2. sonstige Kreditinstitute nach § 1 Absatz 1 des Kreditwesengesetzes,</w:t>
      </w:r>
    </w:p>
    <w:p>
      <w:pPr>
        <w:ind w:left="420"/>
      </w:pPr>
      <w:r>
        <w:t xml:space="preserve">3. Finanzdienstleistungsinstitute nach § 1 Absatz 1a des Kreditwesengesetzes und</w:t>
      </w:r>
    </w:p>
    <w:p>
      <w:pPr>
        <w:ind w:left="420"/>
      </w:pPr>
      <w:r>
        <w:t xml:space="preserve">4. Wertpapierinstitute nach § 2 Absatz 1 des Wertpapierinstitutsgesetzes.</w:t>
      </w:r>
    </w:p>
    <w:p>
      <w:r>
        <w:t xml:space="preserve">(3) Absatz 1 Nummer 1 ist nicht anzuwenden auf Zahlungen, die den Betrag von 50 000 Euro oder den Gegenwert in anderer Währung nicht übersteigen.</w:t>
      </w:r>
    </w:p>
    <w:p>
      <w:r>
        <w:t xml:space="preserve">(4) Bei Meldungen nach Absatz 1 Nummer 1 sind die Kennzahlen der Anlage LV „Leistungsverzeichnis der Deutschen Bundesbank für die Zahlungsbilanz“ und die Bezeichnungen der Wertpapiere, die internationale Wertpapierkennnummer sowie Nennbetrag oder Stückzahl anzugeben.</w:t>
      </w:r>
    </w:p>
    <w:p>
      <w:r>
        <w:t xml:space="preserve">(5) Soweit Zahlungen nach Absatz 1 zu melden sind, ist § 67 nicht anzuwenden.</w:t>
      </w:r>
    </w:p>
    <w:p>
      <w:r>
        <w:rPr>
          <w:color w:val="555555"/>
          <w:sz w:val="17"/>
        </w:rPr>
        <w:t xml:space="preserve">Zitiervorschlag: § 70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https://recht.nulegal.eu/gesetze/AWV%202013/70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