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AWV 2013 — Boykotterklärung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Abgabe einer Erklärung im Außenwirtschaftsverkehr, durch die sich ein Inländer an einem Boykott gegen einen anderen Staat beteiligt (Boykott-Erklärung), ist verboten. Satz 1 gilt nicht für eine Erklärung, die abgegeben wird, um den Anforderungen einer wirtschaftlichen Sanktionsmaßnahme eines Staates gegen einen anderen Staat zu genügen, gegen den auch</w:t>
      </w:r>
    </w:p>
    <w:p>
      <w:pPr>
        <w:ind w:left="420"/>
      </w:pPr>
      <w:r>
        <w:t xml:space="preserve">1. der Sicherheitsrat der Vereinten Nationen nach Kapitel VII der Charta der Vereinten Nationen,</w:t>
      </w:r>
    </w:p>
    <w:p>
      <w:pPr>
        <w:ind w:left="420"/>
      </w:pPr>
      <w:r>
        <w:t xml:space="preserve">2. der Rat der Europäischen Union im Rahmen des Kapitels 2 des Vertrags über die Europäische Union oder</w:t>
      </w:r>
    </w:p>
    <w:p>
      <w:pPr>
        <w:ind w:left="420"/>
      </w:pPr>
      <w:r>
        <w:t xml:space="preserve">3. die Bundesrepublik Deutschland</w:t>
      </w:r>
    </w:p>
    <w:p>
      <w:r>
        <w:t xml:space="preserve">wirtschaftliche Sanktionsmaßnahmen beschlossen haben.</w:t>
      </w:r>
    </w:p>
    <w:p>
      <w:r>
        <w:rPr>
          <w:color w:val="555555"/>
          <w:sz w:val="17"/>
        </w:rPr>
        <w:t xml:space="preserve">Zitiervorschlag: § 7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