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AWV 2013 — Meldung von Zahlungen der Seeschifffahrtsunternehmen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Außer Kraft: § 69 ist seit 01.01.2025 nicht mehr im AWV 2013 enthalten. Angezeigt wird die letzte bekannte Fassung, Stand 10.06.2019.</w:t>
      </w:r>
    </w:p>
    <w:p>
      <w:r>
        <w:t xml:space="preserve">Inländer, die ein Seeschifffahrtsunternehmen betreiben, haben abweichend von § 67 Zahlungen, die sie im Zusammenhang mit dem Betrieb der Seeschifffahrt entgegennehmen oder leisten, der Deutschen Bundesbank in der Frist des § 71 Absatz 7 zu melden. In der Meldung müssen die Angaben gemäß Anlage Z8 „Einnahmen und Ausgaben der Seeschifffahrt“ enthalten sein.</w:t>
      </w:r>
    </w:p>
    <w:p>
      <w:r>
        <w:rPr>
          <w:color w:val="555555"/>
          <w:sz w:val="17"/>
        </w:rPr>
        <w:t xml:space="preserve">Zitiervorschlag: § 69 AWV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