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AWV 2013 — Meldung von Zahlungen</w:t>
      </w:r>
    </w:p>
    <w:p>
      <w:r>
        <w:rPr>
          <w:color w:val="555555"/>
          <w:sz w:val="18"/>
        </w:rPr>
        <w:t xml:space="preserve">Außenwirtschaftsverordnung</w:t>
      </w:r>
    </w:p>
    <w:p>
      <w:r>
        <w:rPr>
          <w:color w:val="555555"/>
          <w:sz w:val="18"/>
        </w:rPr>
        <w:t xml:space="preserve">Stand: 01.01.2025 (konsolidierte Textfassung, kein amtliches Inkrafttretensdatum)</w:t>
      </w:r>
    </w:p>
    <w:p>
      <w:r>
        <w:t xml:space="preserve">(1) Inländer haben der Deutschen Bundesbank in den Fristen des § 71 Absatz 6 Zahlungen gemäß Absatz 4 zu melden, die sie</w:t>
      </w:r>
    </w:p>
    <w:p>
      <w:pPr>
        <w:ind w:left="420"/>
      </w:pPr>
      <w:r>
        <w:t xml:space="preserve">1. von Ausländern oder für deren Rechnung von Inländern entgegennehmen (eingehende Zahlungen) oder</w:t>
      </w:r>
    </w:p>
    <w:p>
      <w:pPr>
        <w:ind w:left="420"/>
      </w:pPr>
      <w:r>
        <w:t xml:space="preserve">2. an Ausländer oder für deren Rechnung an Inländer leisten (ausgehende Zahlungen).</w:t>
      </w:r>
    </w:p>
    <w:p>
      <w:r>
        <w:t xml:space="preserve">(2) Nicht zu melden sind</w:t>
      </w:r>
    </w:p>
    <w:p>
      <w:pPr>
        <w:ind w:left="420"/>
      </w:pPr>
      <w:r>
        <w:t xml:space="preserve">1. Zahlungen, die den Betrag von 50 000 Euro oder den Gegenwert in anderer Währung nicht übersteigen,</w:t>
      </w:r>
    </w:p>
    <w:p>
      <w:pPr>
        <w:ind w:left="420"/>
      </w:pPr>
      <w:r>
        <w:t xml:space="preserve">2. Zahlungen für die Einfuhr, Ausfuhr oder Verbringung von Waren,</w:t>
      </w:r>
    </w:p>
    <w:p>
      <w:pPr>
        <w:ind w:left="420"/>
      </w:pPr>
      <w:r>
        <w:t xml:space="preserve">3. Zahlungen, die die Gewährung, Aufnahme oder Rückzahlung von Krediten, einschließlich der Begründung und Rückzahlung von Guthaben, mit einer ursprünglich vereinbarten Laufzeit oder Kündigungsfrist von nicht mehr als zwölf Monaten zum Gegenstand haben, und</w:t>
      </w:r>
    </w:p>
    <w:p>
      <w:pPr>
        <w:ind w:left="420"/>
      </w:pPr>
      <w:r>
        <w:t xml:space="preserve">4. Zinszahlungen für ausländische Anleihen und Geldmarktpapiere.</w:t>
      </w:r>
    </w:p>
    <w:p>
      <w:r>
        <w:t xml:space="preserve">(3) Zahlungen im Sinne dieses Abschnitts sind auch die Aufrechnung und die Verrechnung sowie Zahlungen, die mittels Lastschriftverfahren abgewickelt werden. Als Zahlung gilt ferner:</w:t>
      </w:r>
    </w:p>
    <w:p>
      <w:pPr>
        <w:ind w:left="420"/>
      </w:pPr>
      <w:r>
        <w:t xml:space="preserve">1. das Einbringen von Sachen und Rechten in Unternehmen, Zweigniederlassungen und Betriebsstätten und</w:t>
      </w:r>
    </w:p>
    <w:p>
      <w:pPr>
        <w:ind w:left="420"/>
      </w:pPr>
      <w:r>
        <w:t xml:space="preserve">2. die Übertragung von Kryptowerten im Sinne des § 1 Absatz 11 Satz 4 des Kreditwesengesetzes.</w:t>
      </w:r>
    </w:p>
    <w:p>
      <w:r>
        <w:t xml:space="preserve">(4) In den Meldungen ein- und ausgehender Zahlungen müssen die Angaben gemäß Anlage 5 enthalten sein. Im Fall von Zahlungen im Zusammenhang mit Wertpapiergeschäften und Finanzderivaten müssen die Angaben gemäß Anlage 6 enthalten sein.</w:t>
      </w:r>
    </w:p>
    <w:p>
      <w:r>
        <w:t xml:space="preserve">(5) In den Meldungen sind aussagefähige Angaben zu den zugrunde liegenden Leistungen oder zum Grundgeschäft zu machen und die entsprechenden Kennzahlen der Anlage LV „Leistungsverzeichnis der Deutschen Bundesbank für die Zahlungsbilanz“, bei Zahlungen für in Aktien verbriefte Direktinvestitionen zusätzlich die internationale Wertpapierkennnummer und Nennbetrag oder Stückzahl anzugeben. Im Fall von Zahlungen im Zusammenhang mit Wertpapieren und Finanzderivaten sind anstelle der Angaben zum Grundgeschäft die Bezeichnungen der Wertpapiere, die internationale Wertpapierkennnummer sowie Nennbetrag oder Stückzahl anzugeben.</w:t>
      </w:r>
    </w:p>
    <w:p>
      <w:r>
        <w:t xml:space="preserve">(6) Der Meldepflichtige nach Absatz 1, der eine ausgehende Zahlung im Transithandelsgeschäft gemeldet hat und die Transithandelsware danach in das Inland einführt oder verbringt, hat den ursprünglich gemeldeten Betrag als „Stornierung im Transithandel“ der Deutschen Bundesbank in der Frist des § 71 Absatz 6 zu melden.</w:t>
      </w:r>
    </w:p>
    <w:p>
      <w:r>
        <w:rPr>
          <w:color w:val="555555"/>
          <w:sz w:val="17"/>
        </w:rPr>
        <w:t xml:space="preserve">Zitiervorschlag: § 67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