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66 AWV 2013 — Meldungen von Forderungen und Verbindlichkeiten</w:t>
      </w:r>
    </w:p>
    <w:p>
      <w:r>
        <w:rPr>
          <w:color w:val="555555"/>
          <w:sz w:val="18"/>
        </w:rPr>
        <w:t xml:space="preserve">Außenwirtschaftsverordnung</w:t>
      </w:r>
    </w:p>
    <w:p>
      <w:r>
        <w:rPr>
          <w:color w:val="555555"/>
          <w:sz w:val="18"/>
        </w:rPr>
        <w:t xml:space="preserve">Stand: 01.01.2025 (konsolidierte Textfassung, kein amtliches Inkrafttretensdatum)</w:t>
      </w:r>
    </w:p>
    <w:p>
      <w:r>
        <w:t xml:space="preserve">(1) Inländer haben ihre Forderungen und Verbindlichkeiten gegenüber Ausländern der Deutschen Bundesbank gemäß Absatz 3 innerhalb der Frist des § 71 Absatz 3 zu melden, wenn diese Forderungen oder Verbindlichkeiten bei Ablauf eines Monats jeweils zusammengerechnet mehr als 6 Millionen Euro betragen.</w:t>
      </w:r>
    </w:p>
    <w:p>
      <w:r>
        <w:t xml:space="preserve">(2) Von der Meldepflicht nach Absatz 1 ausgenommen sind</w:t>
      </w:r>
    </w:p>
    <w:p>
      <w:pPr>
        <w:ind w:left="420"/>
      </w:pPr>
      <w:r>
        <w:t xml:space="preserve">1. natürliche Personen und</w:t>
      </w:r>
    </w:p>
    <w:p>
      <w:pPr>
        <w:ind w:left="420"/>
      </w:pPr>
      <w:r>
        <w:t xml:space="preserve">2. monetäre Finanzinstitute nach Artikel 2 Absatz 1 der Verordnung (EU) 2021/379 der Europäischen Zentralbank vom 22. Januar 2021 über die Bilanzpositionen der Kreditinstitute und des Sektors der monetären Finanzinstitute (ABl. L 73 vom 3.3.2021, S. 16) in der jeweils geltenden Fassung, Investmentaktiengesellschaften und Investmentkommanditgesellschaften sowie Kapitalverwaltungsgesellschaften bezüglich der Forderungen und Verbindlichkeiten ihrer Investmentfonds.</w:t>
      </w:r>
    </w:p>
    <w:p>
      <w:r>
        <w:t xml:space="preserve">(3) Die zu meldenden Forderungen und Verbindlichkeiten müssen die Angaben nach Anlage 4 enthalten.</w:t>
      </w:r>
    </w:p>
    <w:p>
      <w:r>
        <w:t xml:space="preserve">(4) Inländer, die der Meldepflicht nach Absatz 1 unterliegen und deren Forderungen oder Verbindlichkeiten aus Finanzbeziehungen mit Ausländern bei Ablauf eines Quartals mehr als 500 Millionen Euro betragen, haben diese Forderungen und Verbindlichkeiten gegenüber Ausländern, soweit sie aus derivativen Finanzinstrumenten resultieren, nach dem Stand vom Quartalsende in der Frist des § 71 Absatz 4 zu melden, wobei in der Meldung die Angaben nach der Anlage 4 enthalten sein müssen. Die Bestände sind grundsätzlich mit ihrem beizulegenden Zeitwert zu bewerten.</w:t>
      </w:r>
    </w:p>
    <w:p>
      <w:r>
        <w:t xml:space="preserve">(5) Entfällt für einen Inländer, der für den vorangegangenen Meldestichtag meldepflichtig war, wegen Unterschreitens der in den Absätzen 1 oder 4 genannten Betragsgrenzen die Meldepflicht, so hat er dies in der nach § 72 Absatz 1 oder Absatz 3 vorgegebenen Form anzuzeigen.</w:t>
      </w:r>
    </w:p>
    <w:p>
      <w:r>
        <w:rPr>
          <w:color w:val="555555"/>
          <w:sz w:val="17"/>
        </w:rPr>
        <w:t xml:space="preserve">Zitiervorschlag: § 66 AWV 2013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https://recht.nulegal.eu/gesetze/AWV%202013/66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