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62a AWV 2013 — Verfahrenswechsel im Prüfverfahren</w:t>
      </w:r>
    </w:p>
    <w:p>
      <w:r>
        <w:rPr>
          <w:color w:val="555555"/>
          <w:sz w:val="18"/>
        </w:rPr>
        <w:t xml:space="preserve">Außenwirtschaftsverordnung</w:t>
      </w:r>
    </w:p>
    <w:p>
      <w:r>
        <w:rPr>
          <w:color w:val="555555"/>
          <w:sz w:val="18"/>
        </w:rPr>
        <w:t xml:space="preserve">Stand: 06.10.2023 (konsolidierte Textfassung, kein amtliches Inkrafttretensdatum)</w:t>
      </w:r>
    </w:p>
    <w:p>
      <w:r>
        <w:t xml:space="preserve">Sofern sich in einem Prüfverfahren nach § 55 Absatz 1 oder nach § 60 Absatz 1 Satz 1 herausstellt, dass die Voraussetzungen für eine Untersagung oder den Erlass von Anordnungen im Sinne der Vorschriften über das jeweils andere Verfahren vorliegen können, kann das Bundesministerium für Wirtschaft und Klimaschutz das jeweilige Prüfverfahren auf Grundlage der Voraussetzungen der Vorschriften des anderen Verfahrens fortsetzen. Hinsichtlich der Anwendung des § 14a des Außenwirtschaftsgesetzes gelten die bisherigen Verfahrenshandlungen für das andere Verfahren fort. Der Verfahrenswechsel ist dem unmittelbaren Erwerber, dem Veräußerer und dem inländischen Unternehmen unverzüglich bekannt zu geben.</w:t>
      </w:r>
    </w:p>
    <w:p>
      <w:r>
        <w:rPr>
          <w:color w:val="555555"/>
          <w:sz w:val="17"/>
        </w:rPr>
        <w:t xml:space="preserve">Zitiervorschlag: § 62a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https://recht.nulegal.eu/gesetze/AWV%202013/62a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