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62 AWV 2013 — Untersagung oder Anordnungen</w:t>
      </w:r>
    </w:p>
    <w:p>
      <w:r>
        <w:rPr>
          <w:color w:val="555555"/>
          <w:sz w:val="18"/>
        </w:rPr>
        <w:t xml:space="preserve">Außenwirtschaftsverordnung</w:t>
      </w:r>
    </w:p>
    <w:p>
      <w:r>
        <w:rPr>
          <w:color w:val="555555"/>
          <w:sz w:val="18"/>
        </w:rPr>
        <w:t xml:space="preserve">Stand: 28.12.2022 (konsolidierte Textfassung, kein amtliches Inkrafttretensdatum)</w:t>
      </w:r>
    </w:p>
    <w:p>
      <w:r>
        <w:t xml:space="preserve">(1) Das Bundesministerium für Wirtschaft und Klimaschutz kann gegenüber dem Meldepflichtigen bis zum Ablauf der in § 14a Absatz 1 Nummer 2, auch in Verbindung mit den Absätzen 6 und 7, des Außenwirtschaftsgesetzes genannten Frist einen Erwerb im Sinne des § 60 untersagen oder gegenüber den am Erwerb Beteiligten und den mit ihnen verbundenen Unternehmen Anordnungen erlassen, um wesentliche Sicherheitsinteressen der Bundesrepublik Deutschland zu gewährleisten.</w:t>
      </w:r>
    </w:p>
    <w:p>
      <w:r>
        <w:t xml:space="preserve">(2) § 59 Absatz 3 bis 5 und § 59a gilt entsprechend.</w:t>
      </w:r>
    </w:p>
    <w:p>
      <w:r>
        <w:rPr>
          <w:color w:val="555555"/>
          <w:sz w:val="17"/>
        </w:rPr>
        <w:t xml:space="preserve">Zitiervorschlag: § 62 AWV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https://recht.nulegal.eu/gesetze/AWV%202013/62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