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AWV 2013 — Freigabe eines Erwerbs nach § 60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06.10.2023 (konsolidierte Textfassung, kein amtliches Inkrafttretensdatum)</w:t>
      </w:r>
    </w:p>
    <w:p>
      <w:r>
        <w:t xml:space="preserve">Das Bundesministerium für Wirtschaft und Klimaschutz gibt den Erwerb gegenüber dem Meldepflichtigen nach § 60 Absatz 3 Satz 7 frei, wenn dem Erwerb keine Bedenken im Hinblick auf wesentliche Sicherheitsinteressen der Bundesrepublik Deutschland entgegenstehen. Die Freigabe gilt als erteilt, wenn das Bundesministerium für Wirtschaft und Klimaschutz nicht innerhalb der in § 14a Absatz 1 Nummer 1, auch in Verbindung mit Absatz 3 Satz 1, des Außenwirtschaftsgesetzes genannten Frist ein Prüfverfahren gemäß § 60 Absatz 1 gegenüber dem Meldepflichtigen eröffnet. § 58a Absatz 3 gilt mit der Maßgabe entsprechend, dass an die Stelle des § 55 Absatz 1 der § 60 Absatz 1 tritt.</w:t>
      </w:r>
    </w:p>
    <w:p>
      <w:r>
        <w:rPr>
          <w:color w:val="555555"/>
          <w:sz w:val="17"/>
        </w:rPr>
        <w:t xml:space="preserve">Zitiervorschlag: § 61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