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AWV 2013 — Anwendungsbereich der sektorspezifischen Prüfung</w:t>
      </w:r>
    </w:p>
    <w:p>
      <w:r>
        <w:rPr>
          <w:color w:val="555555"/>
          <w:sz w:val="18"/>
        </w:rPr>
        <w:t xml:space="preserve">Außenwirtschaftsverordnung</w:t>
      </w:r>
    </w:p>
    <w:p>
      <w:r>
        <w:rPr>
          <w:color w:val="555555"/>
          <w:sz w:val="18"/>
        </w:rPr>
        <w:t xml:space="preserve">Stand: 06.10.2023 (konsolidierte Textfassung, kein amtliches Inkrafttretensdatum)</w:t>
      </w:r>
    </w:p>
    <w:p>
      <w:r>
        <w:t xml:space="preserve">(1) Das Bundesministerium für Wirtschaft und Klimaschutz kann prüfen, ob der Erwerb eines inländischen Unternehmens oder einer unmittelbaren oder mittelbaren Beteiligung im Sinne des § 60a an einem inländischen Unternehmen durch einen Ausländer wesentliche Sicherheitsinteressen der Bundesrepublik Deutschland voraussichtlich beeinträchtigt, wenn das Unternehmen</w:t>
      </w:r>
    </w:p>
    <w:p>
      <w:pPr>
        <w:ind w:left="420"/>
      </w:pPr>
      <w:r>
        <w:t xml:space="preserve">1. Güter im Sinne des Teils I Abschnitt A der Ausfuhrliste entwickelt, herstellt, modifiziert oder die tatsächliche Gewalt über solche Güter innehat,</w:t>
      </w:r>
    </w:p>
    <w:p>
      <w:pPr>
        <w:ind w:left="420"/>
      </w:pPr>
      <w:r>
        <w:t xml:space="preserve">2. Güter aus dem Bereich Wehrtechnik entwickelt, herstellt, modifiziert oder die tatsächliche Gewalt über solche Güter innehat, auf die sich der Schutzbereich eines nach § 50 des Patentgesetzes geheimgestellten Patentes oder eines nach § 9 des Gebrauchsmustergesetzes geheimgestellten Gebrauchsmusters erstreckt,</w:t>
      </w:r>
    </w:p>
    <w:p>
      <w:pPr>
        <w:ind w:left="420"/>
      </w:pPr>
      <w:r>
        <w:t xml:space="preserve">3. Produkte mit IT-Sicherheitsfunktionen zur Verarbeitung staatlicher Verschlusssachen oder für die IT-Sicherheitsfunktion wesentliche Komponenten solcher Produkte</w:t>
      </w:r>
    </w:p>
    <w:p>
      <w:pPr>
        <w:ind w:left="780"/>
      </w:pPr>
      <w:r>
        <w:t xml:space="preserve">a) herstellt oder</w:t>
      </w:r>
    </w:p>
    <w:p>
      <w:pPr>
        <w:ind w:left="780"/>
      </w:pPr>
      <w:r>
        <w:t xml:space="preserve">b) hergestellt hat und noch über die dabei zugrunde liegende Technik verfügt</w:t>
      </w:r>
    </w:p>
    <w:p>
      <w:pPr>
        <w:ind w:left="420"/>
      </w:pPr>
      <w:r>
        <w:t xml:space="preserve">und die Produkte des Unternehmens oder im Falle für die IT-Sicherheitsfunktion wesentlicher Komponenten das Gesamtprodukt vom Bundesamt für Sicherheit in der Informationstechnik zugelassen wurden oder</w:t>
      </w:r>
    </w:p>
    <w:p>
      <w:pPr>
        <w:ind w:left="420"/>
      </w:pPr>
      <w:r>
        <w:t xml:space="preserve">4. eine verteidigungswichtige Einrichtung im Sinne des § 1 Absatz 5 Satz 2 Nummer 1 des Sicherheitsüberprüfungsgesetzes ist.</w:t>
      </w:r>
    </w:p>
    <w:p>
      <w:r>
        <w:t xml:space="preserve">In den Fällen des Satzes 1 Nummer 1 und 2 gilt dies auch für Unternehmen, die die jeweils genannten Güter in der Vergangenheit entwickelt, hergestellt, modifiziert oder die tatsächliche Gewalt über solche Güter innegehabt haben und noch über Kenntnisse oder sonstigen Zugang zu der solchen Gütern zugrunde liegenden Technologie verfügen.</w:t>
      </w:r>
    </w:p>
    <w:p>
      <w:r>
        <w:t xml:space="preserve">(1a) Ein Erwerb im Sinne des Absatzes 1 Satz 1 liegt auch vor, wenn ein Ausländer</w:t>
      </w:r>
    </w:p>
    <w:p>
      <w:pPr>
        <w:ind w:left="420"/>
      </w:pPr>
      <w:r>
        <w:t xml:space="preserve">1. einen abgrenzbaren Betriebsteil eines inländischen Unternehmens oder</w:t>
      </w:r>
    </w:p>
    <w:p>
      <w:pPr>
        <w:ind w:left="420"/>
      </w:pPr>
      <w:r>
        <w:t xml:space="preserve">2. alle wesentlichen Betriebsmittel eines inländischen Unternehmens oder eines abgrenzbaren Betriebsteils eines inländischen Unternehmens, die für die Aufrechterhaltung des Betriebs des Unternehmens oder eines abgrenzbaren Betriebsteils erforderlich sind,</w:t>
      </w:r>
    </w:p>
    <w:p>
      <w:r>
        <w:t xml:space="preserve">erwirbt.</w:t>
      </w:r>
    </w:p>
    <w:p>
      <w:r>
        <w:t xml:space="preserve">(1b) Bei der Prüfung einer voraussichtlichen Beeinträchtigung der wesentlichen Sicherheitsinteressen nach Absatz 1 Satz 1 kann ferner auch berücksichtigt werden, ob</w:t>
      </w:r>
    </w:p>
    <w:p>
      <w:pPr>
        <w:ind w:left="420"/>
      </w:pPr>
      <w:r>
        <w:t xml:space="preserve">1. der Erwerber unmittelbar oder mittelbar von der Regierung, einschließlich sonstiger staatlicher Stellen oder Streitkräfte, eines Drittstaates kontrolliert wird,</w:t>
      </w:r>
    </w:p>
    <w:p>
      <w:pPr>
        <w:ind w:left="420"/>
      </w:pPr>
      <w:r>
        <w:t xml:space="preserve">2. der Erwerber bereits an Aktivitäten beteiligt war, die nachteilige Auswirkungen auf die öffentliche Ordnung oder Sicherheit der Bundesrepublik Deutschland oder eines anderen Mitgliedstaates der Europäischen Union hatten, oder</w:t>
      </w:r>
    </w:p>
    <w:p>
      <w:pPr>
        <w:ind w:left="420"/>
      </w:pPr>
      <w:r>
        <w:t xml:space="preserve">3. ein erhebliches Risiko besteht, dass der Erwerber oder die für ihn handelnden Personen an Aktivitäten beteiligt waren oder sind, die in Deutschland den Tatbestand</w:t>
      </w:r>
    </w:p>
    <w:p>
      <w:pPr>
        <w:ind w:left="780"/>
      </w:pPr>
      <w:r>
        <w:t xml:space="preserve">a) einer Straftat, die in § 123 Absatz 1 des Gesetzes gegen Wettbewerbsbeschränkungen bezeichnet ist, oder</w:t>
      </w:r>
    </w:p>
    <w:p>
      <w:pPr>
        <w:ind w:left="780"/>
      </w:pPr>
      <w:r>
        <w:t xml:space="preserve">b) einer Straftat oder Ordnungswidrigkeit nach dem Außenwirtschaftsgesetz oder dem Gesetz über die Kontrolle von Kriegswaffen</w:t>
      </w:r>
    </w:p>
    <w:p>
      <w:pPr>
        <w:ind w:left="420"/>
      </w:pPr>
      <w:r>
        <w:t xml:space="preserve">erfüllen würden.</w:t>
      </w:r>
    </w:p>
    <w:p>
      <w:r>
        <w:t xml:space="preserve">Kontrolle im Sinne des Satzes 1 Nummer 1 kann insbesondere auf Grund der Eigentümerstruktur oder in Form einer Finanzausstattung durch die Regierung, einschließlich sonstiger staatlicher Stellen oder Streitkräfte eines Drittstaates, die über ein geringfügiges Maß hinausgeht, ausgeübt werden.</w:t>
      </w:r>
    </w:p>
    <w:p>
      <w:r>
        <w:t xml:space="preserve">(2) Der Prüfung nach Absatz 1 unterliegen ferner Erwerbe, auch durch Inländer, wenn es Anzeichen dafür gibt, dass eine missbräuchliche Gestaltung oder ein Umgehungsgeschäft zumindest auch vorgenommen wurde, um eine Prüfung nach Absatz 1 zu unterlaufen. Anzeichen für eine missbräuchliche Gestaltung oder ein Umgehungsgeschäft liegen insbesondere vor, wenn der unmittelbare Erwerber mit Ausnahme des Erwerbs nach Satz 1 keiner nennenswerten eigenständigen Wirtschaftstätigkeit nachgeht oder im Inland keine auf Dauer angelegte eigene Präsenz in Gestalt von Geschäftsräumen, Personal oder Ausrüstungsgegenständen unterhält. Zweigniederlassungen und Betriebsstätten eines ausländischen Erwerbers gelten nicht als inländisch. Anzeichen für eine missbräuchliche Gestaltung oder ein Umgehungsgeschäft sind ferner auch, wenn mehrere Erwerbe an demselben inländischen Unternehmen so aufeinander abgestimmt werden, dass bei gesonderter Betrachtung keiner der Erwerbe eine Beteiligung im Sinne des § 60a darstellt.</w:t>
      </w:r>
    </w:p>
    <w:p>
      <w:r>
        <w:t xml:space="preserve">(3) Der Erwerb ist dem Bundesministerium für Wirtschaft und Klimaschutz vorbehaltlich des Satzes 2 unverzüglich nach Abschluss des schuldrechtlichen Vertrages zu melden. Im Fall eines Angebots im Sinne des Wertpapiererwerbs- und Übernahmegesetzes hat die Meldung unverzüglich nach Veröffentlichung der Entscheidung zur Abgabe des Angebots zu erfolgen. In der Meldung sind insbesondere der Erwerb, der Erwerber, das zu erwerbende inländische Unternehmen und die Beteiligungsstrukturen an dem Erwerber anzugeben sowie die Geschäftsfelder des Erwerbers und des zu erwerbenden inländischen Unternehmens in den Grundzügen darzustellen. In den Fällen des § 60a Absatz 2 in Verbindung mit § 56 Absatz 4 Satz 1 Nummer 2, 1. Halbsatz und Satz 2 ist auch die Stimmrechtsvereinbarung anzugeben. Das Bundesministerium für Wirtschaft und Klimaschutz bestimmt durch Allgemeinverfügung weitere Informationen und Unterlagen, die in der Meldung anzugeben sind, einschließlich für die Prüfung erforderliche personenbezogene Daten, sowie die Form der Meldung. Die Allgemeinverfügung ist im Bundesanzeiger bekannt zu machen. Die Meldung hat ausschließlich durch den unmittelbaren Erwerber zu erfolgen, auch wenn in dessen Person die Voraussetzungen des Absatzes 1 nicht vorliegen.</w:t>
      </w:r>
    </w:p>
    <w:p>
      <w:r>
        <w:t xml:space="preserve">(4) Das Bundesministerium für Wirtschaft und Klimaschutz hat dem unmittelbaren Erwerber und dem von einem Erwerb nach Absatz 1 betroffenen inländischen Unternehmen die Eröffnung des Prüfverfahrens innerhalb der in § 14a Absatz 1 Nummer 1 des Außenwirtschaftsgesetzes genannten Frist bekannt zu geben. § 55 Absatz 3 Satz 2 bis 4 gilt entsprechend.</w:t>
      </w:r>
    </w:p>
    <w:p>
      <w:r>
        <w:rPr>
          <w:color w:val="555555"/>
          <w:sz w:val="17"/>
        </w:rPr>
        <w:t xml:space="preserve">Zitiervorschlag: § 60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