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AWV 2013 — Befreiung von der Genehmigungspflicht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Die §§ 49 bis 52b gelten nicht</w:t>
      </w:r>
    </w:p>
    <w:p>
      <w:pPr>
        <w:ind w:left="420"/>
      </w:pPr>
      <w:r>
        <w:t xml:space="preserve">1. in den Fällen der</w:t>
      </w:r>
    </w:p>
    <w:p>
      <w:pPr>
        <w:ind w:left="780"/>
      </w:pPr>
      <w:r>
        <w:t xml:space="preserve">a) technischen Unterstützung durch Behörden und Dienststellen der Bundesrepublik Deutschland im Rahmen ihrer dienstlichen Aufgaben,</w:t>
      </w:r>
    </w:p>
    <w:p>
      <w:pPr>
        <w:ind w:left="780"/>
      </w:pPr>
      <w:r>
        <w:t xml:space="preserve">b) technischen Unterstützung, die für die Streitkräfte eines Mitgliedstaates der Europäischen Union aufgrund der ihnen übertragenen Aufgaben erbracht wird,</w:t>
      </w:r>
    </w:p>
    <w:p>
      <w:pPr>
        <w:ind w:left="780"/>
      </w:pPr>
      <w:r>
        <w:t xml:space="preserve">c) technischen Unterstützung, die zu einem Zweck erbracht wird, der in den Ausnahmen für Güter der vom Raketentechnologie-Kontrollregime erfassten Technologie (MTCR-Technologie) in Anhang IV der Verordnung (EU) 2021/821 genannt ist,</w:t>
      </w:r>
    </w:p>
    <w:p>
      <w:pPr>
        <w:ind w:left="780"/>
      </w:pPr>
      <w:r>
        <w:t xml:space="preserve">d) technischen Unterstützung, die das unbedingt notwendige Minimum für Aufbau, Betrieb, Wartung und Reparatur derjenigen Güter darstellt, für die eine Ausfuhrgenehmigung erteilt wurde,</w:t>
      </w:r>
    </w:p>
    <w:p>
      <w:pPr>
        <w:ind w:left="420"/>
      </w:pPr>
      <w:r>
        <w:t xml:space="preserve">2. im Regelungsbereich des Artikels 8 der Verordnung (EU) 2021/821.</w:t>
      </w:r>
    </w:p>
    <w:p>
      <w:r>
        <w:rPr>
          <w:color w:val="555555"/>
          <w:sz w:val="17"/>
        </w:rPr>
        <w:t xml:space="preserve">Zitiervorschlag: § 53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