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AWV 2013 — Genehmigungserfordernisse für Handels- und Vermittlungsgeschäfte über Güter des Teils I Abschnitt A der Ausfuhrliste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Handels- und Vermittlungsgeschäfte über Güter des Teils I Abschnitt A der Ausfuhrliste bedürfen der Genehmigung, wenn</w:t>
      </w:r>
    </w:p>
    <w:p>
      <w:pPr>
        <w:ind w:left="420"/>
      </w:pPr>
      <w:r>
        <w:t xml:space="preserve">1. die Güter sich</w:t>
      </w:r>
    </w:p>
    <w:p>
      <w:pPr>
        <w:ind w:left="780"/>
      </w:pPr>
      <w:r>
        <w:t xml:space="preserve">a) in einem Drittland befinden oder</w:t>
      </w:r>
    </w:p>
    <w:p>
      <w:pPr>
        <w:ind w:left="780"/>
      </w:pPr>
      <w:r>
        <w:t xml:space="preserve">b) im Inland befinden und noch nicht einfuhrrechtlich abgefertigt sind und</w:t>
      </w:r>
    </w:p>
    <w:p>
      <w:pPr>
        <w:ind w:left="420"/>
      </w:pPr>
      <w:r>
        <w:t xml:space="preserve">2. die Güter in ein anderes Drittland geliefert werden sollen.</w:t>
      </w:r>
    </w:p>
    <w:p>
      <w:r>
        <w:t xml:space="preserve">(2) Eine Genehmigung nach Absatz 1 ist nicht erforderlich, wenn das Handels- und Vermittlungsgeschäft nach § 4a des Gesetzes über die Kontrolle von Kriegswaffen genehmigungspflichtig ist.</w:t>
      </w:r>
    </w:p>
    <w:p>
      <w:r>
        <w:rPr>
          <w:color w:val="555555"/>
          <w:sz w:val="17"/>
        </w:rPr>
        <w:t xml:space="preserve">Zitiervorschlag: § 46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