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AWV 2013 — Beschränkungen bei der Durchfuhr von Gütern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zuständigen Zollstellen können im Fall einer Durchfuhr von Gütern nach Artikel 2 Nummer 11 der Verordnung (EU) 2021/821 die Überlassung der Güter bis zur Mitteilung einer Entscheidung durch das Bundesamt für Wirtschaft und Ausfuhrkontrolle (BAFA) nach Absatz 3 aussetzen, um zu verhindern, dass die Güter das Inland verlassen, wenn sie Anhaltspunkte dafür haben, dass die Güter</w:t>
      </w:r>
    </w:p>
    <w:p>
      <w:pPr>
        <w:ind w:left="420"/>
      </w:pPr>
      <w:r>
        <w:t xml:space="preserve">1. im Anhang I der Verordnung (EU) 2021/821 aufgeführt sind und</w:t>
      </w:r>
    </w:p>
    <w:p>
      <w:pPr>
        <w:ind w:left="420"/>
      </w:pPr>
      <w:r>
        <w:t xml:space="preserve">2. ganz oder teilweise für einen der in Artikel 4 Absatz 1 der Verordnung (EU) 2021/821 genannten Verwendungszwecke bestimmt sind oder bestimmt sein können.</w:t>
      </w:r>
    </w:p>
    <w:p>
      <w:r>
        <w:t xml:space="preserve">Die Befugnisse der zuständigen Zollstellen nach Maßgabe der Verordnung (EU) Nr. 952/2013 bleiben unberührt.</w:t>
      </w:r>
    </w:p>
    <w:p>
      <w:r>
        <w:t xml:space="preserve">(2) Die zuständige Zollstelle unterrichtet unverzüglich das Bundesamt für Wirtschaft und Ausfuhrkontrolle (BAFA) über die nach Absatz 1 getroffenen Maßnahmen.</w:t>
      </w:r>
    </w:p>
    <w:p>
      <w:r>
        <w:t xml:space="preserve">(3) Das Bundesamt für Wirtschaft und Ausfuhrkontrolle unterrichtet die zuständige Zollbehörde unverzüglich über seine Entscheidung nach Artikel 7 Absatz 1 oder 2 der Verordnung (EU) 2021/821.</w:t>
      </w:r>
    </w:p>
    <w:p>
      <w:r>
        <w:t xml:space="preserve">(4) Kosten, die im Zusammenhang mit der Lagerung der Güter während der Dauer einer Maßnahme nach Absatz 1 oder Artikel 7 Absatz 1 oder 2 der Verordnung (EU) 2021/821 anfallen, tragen die in Artikel 271 Absatz 2 der Verordnung (EU) Nr. 952/2013 genannten Personen. Artikel 197 und 198 der Verordnung (EU) Nr. 952/2013, jeweils in Verbindung mit § 13 des Zollverwaltungsgesetzes, sind entsprechend anzuwenden.</w:t>
      </w:r>
    </w:p>
    <w:p>
      <w:r>
        <w:rPr>
          <w:color w:val="555555"/>
          <w:sz w:val="17"/>
        </w:rPr>
        <w:t xml:space="preserve">Zitiervorschlag: § 44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