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AWV 2013 — Erleichtertes Verfahren für sonstige Waren</w:t>
      </w:r>
    </w:p>
    <w:p>
      <w:r>
        <w:rPr>
          <w:color w:val="555555"/>
          <w:sz w:val="18"/>
        </w:rPr>
        <w:t xml:space="preserve">Außenwirtschaftsverordnung</w:t>
      </w:r>
    </w:p>
    <w:p>
      <w:r>
        <w:rPr>
          <w:color w:val="555555"/>
          <w:sz w:val="18"/>
        </w:rPr>
        <w:t xml:space="preserve">Stand: 10.06.2019 (konsolidierte Textfassung, kein amtliches Inkrafttretensdatum)</w:t>
      </w:r>
    </w:p>
    <w:p>
      <w:r>
        <w:t xml:space="preserve">(1) Ohne Einfuhrgenehmigung dürfen ferner folgende Waren eingeführt werden:</w:t>
      </w:r>
    </w:p>
    <w:p>
      <w:pPr>
        <w:ind w:left="420"/>
      </w:pPr>
      <w:r>
        <w:t xml:space="preserve">1. Waren</w:t>
      </w:r>
    </w:p>
    <w:p>
      <w:pPr>
        <w:ind w:left="780"/>
      </w:pPr>
      <w:r>
        <w:t xml:space="preserve">a) zur Lieferung an die im Zollgebiet der Europäischen Union stationierten ausländischen Truppen, die diesen gleichgestellten Organisationen, das zivile Gefolge sowie an die Mitglieder der Vorgenannten und deren Angehörige, wenn nach zwischenstaatlichen Verträgen der Bundesrepublik Deutschland oder den Vorschriften des Truppenzollgesetzes Zollfreiheit gewährt wird,</w:t>
      </w:r>
    </w:p>
    <w:p>
      <w:pPr>
        <w:ind w:left="780"/>
      </w:pPr>
      <w:r>
        <w:t xml:space="preserve">b) aus dem Besitz oder zur eigenen Verwendung des in Buchstabe a genannten Personenkreises;</w:t>
      </w:r>
    </w:p>
    <w:p>
      <w:pPr>
        <w:ind w:left="420"/>
      </w:pPr>
      <w:r>
        <w:t xml:space="preserve">2. Waren der Kapitel 26 bis 99 des Warenverzeichnisses für die Außenhandelsstatistik bis zu einem Wert von 1 000 Euro je Einfuhrsendung, wobei das erleichterte Verfahren weder für die Einfuhr aus einem Versandverfahren, einem Lagerverfahren, einer vorübergehenden Verwendung oder einer aktiven Veredelung noch für die Einfuhr von Waren gilt, die zum Handel oder zu einer anderen gewerblichen Verwendung bestimmt sind;</w:t>
      </w:r>
    </w:p>
    <w:p>
      <w:pPr>
        <w:ind w:left="420"/>
      </w:pPr>
      <w:r>
        <w:t xml:space="preserve">3. Muster und Proben für einschlägige Handelsunternehmen oder Verarbeitungsbetriebe von Waren der gewerblichen Wirtschaft bis zu einem Wert von 250 Euro je Einfuhrsendung, wobei bei der Bemessung des Werts unentgeltlich gelieferter Muster und Proben die Vertriebskosten außer Betracht bleiben; dies gilt auch bei entgeltlich gelieferten Mustern und Proben, sofern die Vertriebskosten in der Rechnung getrennt ausgewiesen werden;</w:t>
      </w:r>
    </w:p>
    <w:p>
      <w:pPr>
        <w:ind w:left="420"/>
      </w:pPr>
      <w:r>
        <w:t xml:space="preserve">4. Geschenke bis zu einem Wert von 1 000 Euro je Einfuhrsendung;</w:t>
      </w:r>
    </w:p>
    <w:p>
      <w:pPr>
        <w:ind w:left="420"/>
      </w:pPr>
      <w:r>
        <w:t xml:space="preserve">5. Waren, die von einem Unionsfremden auf eigene Rechnung einem Unionsansässigen zum Ausbessern von Schiffen zur Verfügung gestellt werden, wenn das Schiff in einer Freizone oder unter zollamtlicher Überwachung für Rechnung des Unionsfremden ausgebessert wird;</w:t>
      </w:r>
    </w:p>
    <w:p>
      <w:pPr>
        <w:ind w:left="420"/>
      </w:pPr>
      <w:r>
        <w:t xml:space="preserve">6. gebrauchte Kleidungsstücke, die nicht zum Handel bestimmt sind;</w:t>
      </w:r>
    </w:p>
    <w:p>
      <w:pPr>
        <w:ind w:left="420"/>
      </w:pPr>
      <w:r>
        <w:t xml:space="preserve">7. Waren, die zum vorübergehenden Gebrauch in eine Freizone oder zur vorübergehenden Verwendung in das Zollgebiet der Europäischen Union verbracht worden sind und zum ursprünglichen Zweck nicht mehr verwendet werden können, oder Teile davon, die bei der Ausbesserung im Zollgebiet der Europäischen Union anfallen;</w:t>
      </w:r>
    </w:p>
    <w:p>
      <w:pPr>
        <w:ind w:left="420"/>
      </w:pPr>
      <w:r>
        <w:t xml:space="preserve">8. Ersatzlieferungen für eingeführte Waren, die in Drittländer zurückgesandt worden sind oder zurückgesandt werden sollen oder unter zollamtlicher Überwachung vernichtet worden sind, und handelsübliche Nachlieferungen zu bereits eingeführten Waren;</w:t>
      </w:r>
    </w:p>
    <w:p>
      <w:pPr>
        <w:ind w:left="420"/>
      </w:pPr>
      <w:r>
        <w:t xml:space="preserve">9. Waren mit Ursprung in der Europäischen Union oder in einem anderen Vertragsstaat des Abkommens über den Europäischen Wirtschaftsraum, die als Veredelungserzeugnisse nach zollrechtlicher passiver Veredelung eingeführt werden, sowie andere Veredelungserzeugnisse nach zollrechtlicher passiver Veredelung, die nach Ausbesserung, im Verfahren des Standardaustausches oder nach Durchführung ergänzender Veredelungsvorgänge gemäß Artikel 258 der Verordnung (EU) Nr. 952/2013 eingeführt werden;</w:t>
      </w:r>
    </w:p>
    <w:p>
      <w:pPr>
        <w:ind w:left="420"/>
      </w:pPr>
      <w:r>
        <w:t xml:space="preserve">10. Waren zur Verwendung bei der Ersten Hilfe in Katastrophenfällen;</w:t>
      </w:r>
    </w:p>
    <w:p>
      <w:pPr>
        <w:ind w:left="420"/>
      </w:pPr>
      <w:r>
        <w:t xml:space="preserve">11. Reisegerät und Reisemitbringsel, wenn diese Waren von den Einfuhrabgaben im Sinne des Artikels 5 Nummer 20 der Verordnung (EU) Nr. 952/2013 befreit sind, sowie nicht zum Handel bestimmte Waren bis zu einem Wert von 1 500 Euro, die Reisende mitführen;</w:t>
      </w:r>
    </w:p>
    <w:p>
      <w:pPr>
        <w:ind w:left="420"/>
      </w:pPr>
      <w:r>
        <w:t xml:space="preserve">12. Baubedarf, Instandsetzungs- und Betriebsmittel für Stauwerke, Kraftwerke, Brücken, Straßen und sonstige Bauten, die beiderseits der Grenze zu Drittländern errichtet, betrieben oder benutzt werden;</w:t>
      </w:r>
    </w:p>
    <w:p>
      <w:pPr>
        <w:ind w:left="420"/>
      </w:pPr>
      <w:r>
        <w:t xml:space="preserve">13. Waren, die frei von Einfuhrabgaben im Sinne des Artikels 5 Nummer 20 der Verordnung (EU) Nr. 952/2013 eingeführt werden, nach</w:t>
      </w:r>
    </w:p>
    <w:p>
      <w:pPr>
        <w:ind w:left="780"/>
      </w:pPr>
      <w:r>
        <w:t xml:space="preserve">a) den §§ 14 bis 19 der Zollverordnung oder</w:t>
      </w:r>
    </w:p>
    <w:p>
      <w:pPr>
        <w:ind w:left="780"/>
      </w:pPr>
      <w:r>
        <w:t xml:space="preserve">b) Titel II der Verordnung (EG) Nr. 1186/2009 des Rates vom 16. November 2009 über das gemeinschaftliche System der Zollbefreiungen (ABl. L 324 vom 10.12.2009, S. 23);</w:t>
      </w:r>
    </w:p>
    <w:p>
      <w:pPr>
        <w:ind w:left="420"/>
      </w:pPr>
      <w:r>
        <w:t xml:space="preserve">14. Waren in Freizonen, die im erleichterten Verfahren unter den Voraussetzungen und Bedingungen eingeführt werden können, unter denen diese Waren von den Einfuhrabgaben im Sinne des Artikels 5 Nummer 20 der Verordnung (EU) Nr. 952/2013 befreit sind;</w:t>
      </w:r>
    </w:p>
    <w:p>
      <w:pPr>
        <w:ind w:left="420"/>
      </w:pPr>
      <w:r>
        <w:t xml:space="preserve">15. Waren, die nach den folgenden Vorschriften von den Einfuhrabgaben im Sinne des Artikels 5 Nummer 20 der Verordnung (EU) Nr. 952/2013 außertariflich befreit sind:</w:t>
      </w:r>
    </w:p>
    <w:p>
      <w:pPr>
        <w:ind w:left="780"/>
      </w:pPr>
      <w:r>
        <w:t xml:space="preserve">a) nach den Beitrittsgesetzen der Bundesrepublik Deutschland zu zwischenstaatlichen Verträgen mit Drittländern,</w:t>
      </w:r>
    </w:p>
    <w:p>
      <w:pPr>
        <w:ind w:left="780"/>
      </w:pPr>
      <w:r>
        <w:t xml:space="preserve">b) nach Rechtsverordnungen der Bundesregierung 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vom 22. Juni 1954 (BGBl. 1954 II S. 639), der zuletzt durch Artikel 4 des Gesetzes vom 16. August 1980 (BGBl. 1980 II S. 941) geändert worden ist,</w:t>
      </w:r>
    </w:p>
    <w:p>
      <w:pPr>
        <w:ind w:left="780"/>
      </w:pPr>
      <w:r>
        <w:t xml:space="preserve">c) nach den Artikeln 250 bis 253 der Verordnung (EU) Nr. 952/2013, wenn die Waren unter vollständiger oder teilweiser Befreiung von den Einfuhrabgaben vorübergehend im Zollgebiet der Europäischen Union verwendet werden oder</w:t>
      </w:r>
    </w:p>
    <w:p>
      <w:pPr>
        <w:ind w:left="780"/>
      </w:pPr>
      <w:r>
        <w:t xml:space="preserve">d) nach den Artikeln 203 bis 207 der Verordnung (EU) Nr. 952/2013, wenn die Waren wieder in das Zollgebiet der Europäischen Union eingeführt werden.</w:t>
      </w:r>
    </w:p>
    <w:p>
      <w:r>
        <w:t xml:space="preserve">(2) Die §§ 31 bis 39 gelten nicht für die in Absatz 1 genannten Einfuhren. Absatz 1 Nummer 13 gilt entsprechend, wenn die dort genannten Waren aus einem anderen Grund zollfrei eingeführt werden können.</w:t>
      </w:r>
    </w:p>
    <w:p>
      <w:r>
        <w:rPr>
          <w:color w:val="555555"/>
          <w:sz w:val="17"/>
        </w:rPr>
        <w:t xml:space="preserve">Zitiervorschlag: § 41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