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AWV 2013 — Erleichtertes Verfahren für landwirtschaftliche Waren</w:t>
      </w:r>
    </w:p>
    <w:p>
      <w:r>
        <w:rPr>
          <w:color w:val="555555"/>
          <w:sz w:val="18"/>
        </w:rPr>
        <w:t xml:space="preserve">Außenwirtschaftsverordnung</w:t>
      </w:r>
    </w:p>
    <w:p>
      <w:r>
        <w:rPr>
          <w:color w:val="555555"/>
          <w:sz w:val="18"/>
        </w:rPr>
        <w:t xml:space="preserve">Stand: 10.06.2019 (konsolidierte Textfassung, kein amtliches Inkrafttretensdatum)</w:t>
      </w:r>
    </w:p>
    <w:p>
      <w:r>
        <w:t xml:space="preserve">(1) Ohne Einfuhrgenehmigung dürfen folgende landwirtschaftliche Waren eingeführt werden:</w:t>
      </w:r>
    </w:p>
    <w:p>
      <w:pPr>
        <w:ind w:left="420"/>
      </w:pPr>
      <w:r>
        <w:t xml:space="preserve">1. Waren der Kapitel 1 bis 25 des Warenverzeichnisses für die Außenhandelsstatistik bis zu einem Wert von 125 Euro je Einfuhrsendung, ausgenommen Saatgut, wobei das erleichterte Verfahren weder für die Einfuhr aus einem Versandverfahren, einem Lagerverfahren, einer vorübergehenden Verwendung oder einer aktiven Veredelung noch für die Einfuhr von Waren gilt, die zum Handel oder zu einer anderen gewerblichen Verwendung bestimmt sind;</w:t>
      </w:r>
    </w:p>
    <w:p>
      <w:pPr>
        <w:ind w:left="420"/>
      </w:pPr>
      <w:r>
        <w:t xml:space="preserve">2. Muster und Proben für einschlägige Handelsunternehmen oder Verarbeitungsbetriebe von Erzeugnissen der Ernährung und Landwirtschaft bis zu einem Wert von 50 Euro je Einfuhrsendung, ausgenommen Saatgut, wobei bei der Bemessung des Werts unentgeltlich gelieferter Muster und Proben die Vertriebskosten außer Betracht bleiben; dies gilt auch bei entgeltlich gelieferten Mustern und Proben, sofern die Vertriebskosten in der Rechnung getrennt ausgewiesen werden;</w:t>
      </w:r>
    </w:p>
    <w:p>
      <w:pPr>
        <w:ind w:left="420"/>
      </w:pPr>
      <w:r>
        <w:t xml:space="preserve">3. Waren, die Aussteller zum unmittelbaren Verzehr als Kostproben auf Messen oder Ausstellungen einführen, wenn der Wert der in einem Kapitel des Warenverzeichnisses für die Außenhandelsstatistik zusammengefassten Waren 3 000 Euro je Messe oder Ausstellung nicht übersteigt, wobei der Wert der Waren mehrerer Aussteller, die sich durch dieselbe Person vertreten lassen, zusammenzurechnen ist;</w:t>
      </w:r>
    </w:p>
    <w:p>
      <w:pPr>
        <w:ind w:left="420"/>
      </w:pPr>
      <w:r>
        <w:t xml:space="preserve">4. Fische und andere Waren, die Unionsansässige auf hoher See sowie im schweizerischen Teil des Untersees und des Rheins von Schiffen, welche die Flagge eines Mitgliedstaats der Europäischen Union führen, aus gewinnen und unmittelbar in das Zollgebiet der Europäischen Union verbringen;</w:t>
      </w:r>
    </w:p>
    <w:p>
      <w:pPr>
        <w:ind w:left="420"/>
      </w:pPr>
      <w:r>
        <w:t xml:space="preserve">5. Brieftauben, die nicht als Handelsware eingeführt werden;</w:t>
      </w:r>
    </w:p>
    <w:p>
      <w:pPr>
        <w:ind w:left="420"/>
      </w:pPr>
      <w:r>
        <w:t xml:space="preserve">6. Tiere, Saatgut, Düngemittel, Fahrzeuge, Maschinen und sonstige Waren, deren Einfuhr durch die örtlichen und wirtschaftlichen Verhältnisse in Grenzzonen oder grenznahen Räumen mit Drittländern bedingt ist und die nach zwischenstaatlichen Verträgen von Einfuhrbeschränkungen befreit sind;</w:t>
      </w:r>
    </w:p>
    <w:p>
      <w:pPr>
        <w:ind w:left="420"/>
      </w:pPr>
      <w:r>
        <w:t xml:space="preserve">7. Erzeugnisse des Ackerbaus, der Viehzucht, des Gartenbaus und der Forstwirtschaft solcher grenzdurchschnittener Betriebe, die vom Zollgebiet der Europäischen Union aus bewirtschaftet werden, wenn diese Erzeugnisse von den Einfuhrabgaben im Sinne des Artikels 5 Nummer 20 der Verordnung (EU) Nr. 952/2013 befreit sind.</w:t>
      </w:r>
    </w:p>
    <w:p>
      <w:r>
        <w:t xml:space="preserve">(2) Die §§ 31 bis 39 gelten nicht für die in Absatz 1 genannten Einfuhren.</w:t>
      </w:r>
    </w:p>
    <w:p>
      <w:r>
        <w:rPr>
          <w:color w:val="555555"/>
          <w:sz w:val="17"/>
        </w:rPr>
        <w:t xml:space="preserve">Zitiervorschlag: § 40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