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AWV 2013 — Einfuhrabfertigung bei vorheriger Einfuhrüberwachung</w:t>
      </w:r>
    </w:p>
    <w:p>
      <w:r>
        <w:rPr>
          <w:color w:val="555555"/>
          <w:sz w:val="18"/>
        </w:rPr>
        <w:t xml:space="preserve">Außenwirtschaftsverordnung</w:t>
      </w:r>
    </w:p>
    <w:p>
      <w:r>
        <w:rPr>
          <w:color w:val="555555"/>
          <w:sz w:val="18"/>
        </w:rPr>
        <w:t xml:space="preserve">Stand: 10.06.2019 (konsolidierte Textfassung, kein amtliches Inkrafttretensdatum)</w:t>
      </w:r>
    </w:p>
    <w:p>
      <w:r>
        <w:t xml:space="preserve">(1) Erfolgt die Einfuhrabfertigung auf Grund einer elektronischen Einfuhranmeldung, rufen die Zollstellen die Daten des Überwachungsdokuments im automatisierten Verfahren ab. § 32 Absatz 1 Satz 1 Nummer 2 Buchstabe b gilt entsprechend. Bei elektronischer Einfuhrabfertigung nach Satz 1 werden Überwachungsdokumente durch die Zollstellen grundsätzlich elektronisch abgeschrieben, wenn sie zur Verwendung im Inland bestimmt sind. In anderen Mitgliedstaaten der Europäischen Union ausgestellte Überwachungsdokumente müssen in Papierform vorgelegt und abgeschrieben werden.</w:t>
      </w:r>
    </w:p>
    <w:p>
      <w:r>
        <w:t xml:space="preserve">(2) Erfolgt die Einfuhrabfertigung auf Grund einer Einfuhranmeldung in Papierform, muss der Einführer das Überwachungsdokument der zuständigen Zollstelle vorlegen. Die Zollstelle vermerkt auf dem Überwachungsdokument die Menge oder den Wert der abgefertigten Waren.</w:t>
      </w:r>
    </w:p>
    <w:p>
      <w:r>
        <w:t xml:space="preserve">(3) Die Zollstelle lehnt die Einfuhrabfertigung ab,</w:t>
      </w:r>
    </w:p>
    <w:p>
      <w:pPr>
        <w:ind w:left="420"/>
      </w:pPr>
      <w:r>
        <w:t xml:space="preserve">1. wenn der Antrag auf Einfuhrabfertigung später als am letzten Gültigkeitstag des Überwachungsdokuments gestellt wird,</w:t>
      </w:r>
    </w:p>
    <w:p>
      <w:pPr>
        <w:ind w:left="420"/>
      </w:pPr>
      <w:r>
        <w:t xml:space="preserve">2. wenn der Preis je Einheit, zu dem das Geschäft getätigt wird, den im Überwachungsdokument angegebenen Preis um mehr als den im Überwachungsdokument vermerkten Prozentsatz überschreitet oder</w:t>
      </w:r>
    </w:p>
    <w:p>
      <w:pPr>
        <w:ind w:left="420"/>
      </w:pPr>
      <w:r>
        <w:t xml:space="preserve">3. soweit der Gesamtwert oder die Gesamtmenge der zur Einfuhr angemeldeten Waren um mehr als den im Überwachungsdokument vermerkten Prozentsatz überschritten wird.</w:t>
      </w:r>
    </w:p>
    <w:p>
      <w:r>
        <w:rPr>
          <w:color w:val="555555"/>
          <w:sz w:val="17"/>
        </w:rPr>
        <w:t xml:space="preserve">Zitiervorschlag: § 37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