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AWV 2013 — Verfahren bei der Einfuhrabfertigung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Zollstelle prüft die Zulässigkeit der Einfuhr. Sie lehnt die Einfuhrabfertigung ab, wenn</w:t>
      </w:r>
    </w:p>
    <w:p>
      <w:pPr>
        <w:ind w:left="420"/>
      </w:pPr>
      <w:r>
        <w:t xml:space="preserve">1. die für die Einfuhrabfertigung gemäß § 32 Absatz 1 Satz 1 Nummer 2 Buchstabe a bis d erforderlichen Dokumente nicht beim Einführer oder seinem Vertreter vorhanden sind,</w:t>
      </w:r>
    </w:p>
    <w:p>
      <w:pPr>
        <w:ind w:left="420"/>
      </w:pPr>
      <w:r>
        <w:t xml:space="preserve">2. die in § 32 Absatz 1 Satz 1 Nummer 2 Buchstabe a bis d genannten Dokumente bei der Einfuhrabfertigung gemäß § 32 Absatz 3 nicht vorliegen oder</w:t>
      </w:r>
    </w:p>
    <w:p>
      <w:pPr>
        <w:ind w:left="420"/>
      </w:pPr>
      <w:r>
        <w:t xml:space="preserve">3. die Waren nicht den Angaben der Dokumente im Sinne des § 32 Absatz 1 Satz 1 oder Absatz 3 entsprechen.</w:t>
      </w:r>
    </w:p>
    <w:p>
      <w:r>
        <w:t xml:space="preserve">Bestehen ernsthafte Zweifel an der Richtigkeit eines Ursprungszeugnisses, können die Zollstellen weitere Beweismittel zum Nachweis des Ursprungs verlangen und damit die Einfuhrabfertigung ermöglichen.</w:t>
      </w:r>
    </w:p>
    <w:p>
      <w:r>
        <w:t xml:space="preserve">(2) Bei der Einfuhr von Wasser, elektrischem Strom, Stadtgas, Ferngas oder ähnlichen Gasen in Leitungen entfällt die Einfuhrabfertigung.</w:t>
      </w:r>
    </w:p>
    <w:p>
      <w:r>
        <w:rPr>
          <w:color w:val="555555"/>
          <w:sz w:val="17"/>
        </w:rPr>
        <w:t xml:space="preserve">Zitiervorschlag: § 33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