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AWV 2013 — Einfuhrdokumente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06.10.2023 (konsolidierte Textfassung, kein amtliches Inkrafttretensdatum)</w:t>
      </w:r>
    </w:p>
    <w:p>
      <w:r>
        <w:t xml:space="preserve">(1) Wird die Einfuhrabfertigung elektronisch beantragt, hat der Einführer sicherzustellen, dass die nachstehend genannten Dokumente zum Zeitpunkt der Beantragung der Einfuhrabfertigung bei ihm oder seinem Vertreter vorhanden sind:</w:t>
      </w:r>
    </w:p>
    <w:p>
      <w:pPr>
        <w:ind w:left="420"/>
      </w:pPr>
      <w:r>
        <w:t xml:space="preserve">1. die Rechnung oder sonstige Unterlagen, aus denen das Einkaufs- oder Versendungsland und das Ursprungsland der Waren ersichtlich sind, und,</w:t>
      </w:r>
    </w:p>
    <w:p>
      <w:pPr>
        <w:ind w:left="420"/>
      </w:pPr>
      <w:r>
        <w:t xml:space="preserve">2. wenn dies in einem Rechtsakt der Europäischen Union vorgesehen ist,</w:t>
      </w:r>
    </w:p>
    <w:p>
      <w:pPr>
        <w:ind w:left="780"/>
      </w:pPr>
      <w:r>
        <w:t xml:space="preserve">a) ein Ursprungszeugnis oder eine Ursprungserklärung nach Maßgabe des § 38,</w:t>
      </w:r>
    </w:p>
    <w:p>
      <w:pPr>
        <w:ind w:left="780"/>
      </w:pPr>
      <w:r>
        <w:t xml:space="preserve">b) ein Überwachungsdokument nach Maßgabe des § 36,</w:t>
      </w:r>
    </w:p>
    <w:p>
      <w:pPr>
        <w:ind w:left="780"/>
      </w:pPr>
      <w:r>
        <w:t xml:space="preserve">c) eine Einfuhrgenehmigung nach Maßgabe des § 39 oder eine Einfuhrlizenz im Rahmen einer gemeinsamen Marktorganisation oder einer Handelsregelung,</w:t>
      </w:r>
    </w:p>
    <w:p>
      <w:pPr>
        <w:ind w:left="780"/>
      </w:pPr>
      <w:r>
        <w:t xml:space="preserve">d) eine Konformitätsbescheinigung oder Verzichtserklärung nach Maßgabe des § 42 Absatz 2.</w:t>
      </w:r>
    </w:p>
    <w:p>
      <w:r>
        <w:t xml:space="preserve">Die in Satz 1 Nummer 1 und 2 Buchstabe a und d genannten Dokumente müssen bei der Einfuhrabfertigung im Einzelfall auf Verlangen der Zollstelle vorgelegt werden.</w:t>
      </w:r>
    </w:p>
    <w:p>
      <w:r>
        <w:t xml:space="preserve">(2) Nutzt der Einführer die elektronische Einfuhrabfertigung nach Absatz 1, so hat er monatlich oder nach spezieller Vereinbarung mit der zuständigen Zollstelle die in Absatz 1 Nummer 2 Buchstabe a bis d genannten Dokumente der zuständigen Zollstelle vorzulegen.</w:t>
      </w:r>
    </w:p>
    <w:p>
      <w:r>
        <w:t xml:space="preserve">(3) Wird die Einfuhrabfertigung in Papierform beantragt, sind die in Absatz 1 genannten Dokumente vorzulegen.</w:t>
      </w:r>
    </w:p>
    <w:p>
      <w:r>
        <w:rPr>
          <w:color w:val="555555"/>
          <w:sz w:val="17"/>
        </w:rPr>
        <w:t xml:space="preserve">Zitiervorschlag: § 32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