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AWV 2013 — Antrag auf Einfuhrabfertigung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Der Einführer hat die Einfuhrabfertigung bei einer Zollstelle zu beantragen. Anstelle des Einführers kann ein Unionsansässiger im eigenen Namen die Einfuhrabfertigung für Waren beantragen, die auf Grund eines Einfuhrvertrags geliefert werden, wenn er</w:t>
      </w:r>
    </w:p>
    <w:p>
      <w:pPr>
        <w:ind w:left="420"/>
      </w:pPr>
      <w:r>
        <w:t xml:space="preserve">1. als Handelsvertreter des unionsfremden Vertragspartners am Abschluss des Einfuhrvertrags mitgewirkt hat oder</w:t>
      </w:r>
    </w:p>
    <w:p>
      <w:pPr>
        <w:ind w:left="420"/>
      </w:pPr>
      <w:r>
        <w:t xml:space="preserve">2. in Ausübung seines Gewerbes auf Grund eines Vertrags mit dem unionsfremden Vertragspartner</w:t>
      </w:r>
    </w:p>
    <w:p>
      <w:pPr>
        <w:ind w:left="780"/>
      </w:pPr>
      <w:r>
        <w:t xml:space="preserve">a) an der Beförderung der Waren mitwirkt oder</w:t>
      </w:r>
    </w:p>
    <w:p>
      <w:pPr>
        <w:ind w:left="780"/>
      </w:pPr>
      <w:r>
        <w:t xml:space="preserve">b) die Zollanmeldung zur Überlassung der Waren zum zollrechtlich freien Verkehr abgibt.</w:t>
      </w:r>
    </w:p>
    <w:p>
      <w:r>
        <w:t xml:space="preserve">(2) Der Antrag auf Einfuhrabfertigung ist zu stellen</w:t>
      </w:r>
    </w:p>
    <w:p>
      <w:pPr>
        <w:ind w:left="420"/>
      </w:pPr>
      <w:r>
        <w:t xml:space="preserve">1. mit der Abgabe der Zollanmeldung zur Überlassung der Waren zum zollrechtlich freien Verkehr oder</w:t>
      </w:r>
    </w:p>
    <w:p>
      <w:pPr>
        <w:ind w:left="420"/>
      </w:pPr>
      <w:r>
        <w:t xml:space="preserve">2. vor Gebrauch, Verbrauch, Bearbeitung oder Verarbeitung der Waren in einer Freizone oder auf der Insel Helgoland.</w:t>
      </w:r>
    </w:p>
    <w:p>
      <w:r>
        <w:t xml:space="preserve">Auf Antrag des Einführers kann eine zeitlich vorgezogene Einfuhrabfertigung erfolgen. § 42 Absatz 1 und 3 bleibt unberührt.</w:t>
      </w:r>
    </w:p>
    <w:p>
      <w:r>
        <w:t xml:space="preserve">(3) Darf der Einführer Waren aufgrund einer vereinfachten Zollanmeldung nach Artikel 166 der Verordnung (EU) Nr. 952/2013 oder einer vereinfachten Zollanmeldung als Anschreibung in der Buchführung des Anmelders nach Artikel 182 der Verordnung (EU) Nr. 952/2013 in ein Zollverfahren überführen, müssen die für die Überführung in das angemeldete Zollverfahren zwingend erforderlichen Unterlagen gemäß Artikel 163 Absatz 1 der Verordnung (EU) Nr. 952/2013 im Zeitpunkt der Abgabe der vereinfachten Zollanmeldung oder im Zeitpunkt der Anschreibung in der Buchführung des Anmelders bereitgehalten werden. Unterlagen, die für die Überführung in das angemeldete Zollverfahren nicht zwingend erforderlich sind, müssen gemäß Artikel 167 Absatz 1 der Verordnung (EU) Nr. 952/2013 abweichend von Absatz 2 Nummer 1 erst mit der ergänzenden Zollanmeldung bereitgehalten werden. Zur Sicherung der einfuhrrechtlichen Belange können die Zollbehörden verlangen, dass ihnen die nach Satz 1 bereitzuhaltenden Unterlagen vorgelegt werden.</w:t>
      </w:r>
    </w:p>
    <w:p>
      <w:r>
        <w:t xml:space="preserve">(4) Der Antrag kann elektronisch oder in Papierform abgegeben werden.</w:t>
      </w:r>
    </w:p>
    <w:p>
      <w:r>
        <w:t xml:space="preserve">(5) Der Einführer hat im Antrag die handelsübliche oder sprachgebräuchliche Bezeichnung der Waren sowie die Nummer des Warenverzeichnisses für die Außenhandelsstatistik anzugeben.</w:t>
      </w:r>
    </w:p>
    <w:p>
      <w:r>
        <w:rPr>
          <w:color w:val="555555"/>
          <w:sz w:val="17"/>
        </w:rPr>
        <w:t xml:space="preserve">Zitiervorschlag: § 31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