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AWV 2013 — Aufzeichnungspflichten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Ausführer ist verpflichtet, für jede von einer Zollstelle vorgenommene Abschreibung gemäß § 23 oder § 25 unter Bezugnahme auf die Ausfuhranmeldung ausführliche Register oder Aufzeichnungen zu führen. Diese müssen folgende Angaben enthalten:</w:t>
      </w:r>
    </w:p>
    <w:p>
      <w:pPr>
        <w:ind w:left="420"/>
      </w:pPr>
      <w:r>
        <w:t xml:space="preserve">1. die Registriernummer der Ausfuhranmeldung,</w:t>
      </w:r>
    </w:p>
    <w:p>
      <w:pPr>
        <w:ind w:left="420"/>
      </w:pPr>
      <w:r>
        <w:t xml:space="preserve">2. das Datum der Annahme der Ausfuhranmeldung,</w:t>
      </w:r>
    </w:p>
    <w:p>
      <w:pPr>
        <w:ind w:left="420"/>
      </w:pPr>
      <w:r>
        <w:t xml:space="preserve">3. die Bezeichnung der Zollstelle, bei der die Abschreibung vorgenommen wurde,</w:t>
      </w:r>
    </w:p>
    <w:p>
      <w:pPr>
        <w:ind w:left="420"/>
      </w:pPr>
      <w:r>
        <w:t xml:space="preserve">4. die Antragsnummer der Genehmigung,</w:t>
      </w:r>
    </w:p>
    <w:p>
      <w:pPr>
        <w:ind w:left="420"/>
      </w:pPr>
      <w:r>
        <w:t xml:space="preserve">5. die Menge oder den Wert der abgeschriebenen Waren und</w:t>
      </w:r>
    </w:p>
    <w:p>
      <w:pPr>
        <w:ind w:left="420"/>
      </w:pPr>
      <w:r>
        <w:t xml:space="preserve">6. die Restmenge oder den Restwert der Waren.</w:t>
      </w:r>
    </w:p>
    <w:p>
      <w:r>
        <w:t xml:space="preserve">(2) Die Register oder Aufzeichnungen sind für die Dauer von fünf Jahren aufzubewahren.</w:t>
      </w:r>
    </w:p>
    <w:p>
      <w:r>
        <w:rPr>
          <w:color w:val="555555"/>
          <w:sz w:val="17"/>
        </w:rPr>
        <w:t xml:space="preserve">Zitiervorschlag: § 26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