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AWV 2013 — Anschreibung in der Buchführung des Anmelders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Antrag auf Bewilligung der Anschreibung in der Buchführung des Anmelders nach Artikel 182 der Verordnung (EU) Nr. 952/2013 sind die auszuführenden Waren zu bezeichnen und die Nummer des Warenverzeichnisses für die Außenhandelsstatistik anzugeben, das vom Statistischen Bundesamt in 65189 Wiesbaden, Gustav-Stresemann-Ring 11, herausgegeben wird und auch über www.destatis.de bezogen werden kann.</w:t>
      </w:r>
    </w:p>
    <w:p>
      <w:r>
        <w:t xml:space="preserve">(2) Soll ständig eine Vielzahl verschiedener Waren ausgeführt werden, so können diese in dem Antrag nach Absatz 1 in Warengruppen mit einer Sammelbezeichnung und mit der zutreffenden Positionsnummer des Warenverzeichnisses angegeben werden.</w:t>
      </w:r>
    </w:p>
    <w:p>
      <w:r>
        <w:t xml:space="preserve">(3) Zuständig für die Bewilligung der Anschreibung in der Buchführung des Anmelders ist das Hauptzollamt.</w:t>
      </w:r>
    </w:p>
    <w:p>
      <w:r>
        <w:rPr>
          <w:color w:val="555555"/>
          <w:sz w:val="17"/>
        </w:rPr>
        <w:t xml:space="preserve">Zitiervorschlag: § 16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