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AWV 2013 — Genehmigungserfordernisse für die Verbringung von Gütern</w:t>
      </w:r>
    </w:p>
    <w:p>
      <w:r>
        <w:rPr>
          <w:color w:val="555555"/>
          <w:sz w:val="18"/>
        </w:rPr>
        <w:t xml:space="preserve">Außenwirtschaftsverordnung</w:t>
      </w:r>
    </w:p>
    <w:p>
      <w:r>
        <w:rPr>
          <w:color w:val="555555"/>
          <w:sz w:val="18"/>
        </w:rPr>
        <w:t xml:space="preserve">Stand: 02.02.2022 (konsolidierte Textfassung, kein amtliches Inkrafttretensdatum)</w:t>
      </w:r>
    </w:p>
    <w:p>
      <w:r>
        <w:t xml:space="preserve">(1) Die Verbringung der in Teil I Abschnitt A der Ausfuhrliste genannten Güter bedarf der Genehmigung. Dies gilt nicht für</w:t>
      </w:r>
    </w:p>
    <w:p>
      <w:pPr>
        <w:ind w:left="420"/>
      </w:pPr>
      <w:r>
        <w:t xml:space="preserve">1. Feuerwaffen im Sinne des § 1 Absatz 4 des Waffengesetzes in Verbindung mit Abschnitt 1 Unterabschnitt 1 Nummer 2 und Abschnitt 3 der Anlage 1 zum Waffengesetz, soweit das Waffengesetz und die auf Grund des Waffengesetzes erlassenen waffenrechtlichen Verordnungen für diese gelten, einschließlich unwesentlicher Teile und Zubehör,</w:t>
      </w:r>
    </w:p>
    <w:p>
      <w:pPr>
        <w:ind w:left="420"/>
      </w:pPr>
      <w:r>
        <w:t xml:space="preserve">2. Munition im Sinne des § 1 Absatz 4 des Waffengesetzes in Verbindung mit Abschnitt 1 Unterabschnitt 3 Nummer 1 und 2 der Anlage 1 zum Waffengesetz, soweit sie für Feuerwaffen im Sinne von Nummer 1 bestimmt ist, einschließlich Munitionsteile, und</w:t>
      </w:r>
    </w:p>
    <w:p>
      <w:pPr>
        <w:ind w:left="420"/>
      </w:pPr>
      <w:r>
        <w:t xml:space="preserve">3. Wiederladegeräte, soweit sie für Munition im Sinne der Nummer 2 bestimmt sind.</w:t>
      </w:r>
    </w:p>
    <w:p>
      <w:r>
        <w:t xml:space="preserve">Satz 2 gilt nicht, wenn dem Verbringer bekannt ist, dass das endgültige Bestimmungsziel der Güter außerhalb des Zollgebiets der Europäischen Union und außerhalb des Gebietes der Schweiz, Liechtensteins, Norwegens und Islands liegt.</w:t>
      </w:r>
    </w:p>
    <w:p>
      <w:r>
        <w:t xml:space="preserve">(2) Die Verbringung der in Teil I Abschnitt B der Ausfuhrliste genannten Güter bedarf der Genehmigung, wenn dem Verbringer bekannt ist, dass das endgültige Bestimmungsziel der Güter außerhalb des Zollgebiets der Europäischen Union liegt.</w:t>
      </w:r>
    </w:p>
    <w:p>
      <w:r>
        <w:t xml:space="preserve">(3) Die Verbringung von Gütern, die nicht in der Ausfuhrliste oder in Anhang I der Verordnung (EU) 2021/821 genannt sind, bedarf der Genehmigung, wenn das endgültige Bestimmungsziel der Güter außerhalb des Zollgebiets der Europäischen Union liegt und der Verbringer vom Bundesamt für Wirtschaft und Ausfuhrkontrolle (BAFA) darüber unterrichtet worden ist, dass diese Güter ganz oder teilweise für die Errichtung oder den Betrieb einer Anlage für kerntechnische Zwecke im Sinne der Kategorie 0 des Anhangs I der Verordnung (EU) 2021/821 oder zum Einbau in eine solche Anlage bestimmt sind oder bestimmt sein können und es sich um ein in § 9 Absatz 1 Satz 1 Nummer 2 genanntes Bestimmungsland handelt.</w:t>
      </w:r>
    </w:p>
    <w:p>
      <w:r>
        <w:t xml:space="preserve">(4) Ist dem Verbringer bekannt, dass Güter im Sinne des Absatzes 3, die er verbringen möchte und deren endgültiges Bestimmungsziel außerhalb des Zollgebiets der Europäischen Union liegt, für einen in Absatz 3 genannten Zweck bestimmt sind und es sich um ein in § 9 Absatz 1 Satz 1 Nummer 2 genanntes Bestimmungsland handelt, so hat er das Bundesamt für Wirtschaft und Ausfuhrkontrolle (BAFA) darüber zu unterrichten. Dieses entscheidet, ob die Verbringung genehmigungspflichtig ist. Die Güter dürfen erst verbracht werden, wenn das Bundesamt für Wirtschaft und Ausfuhrkontrolle (BAFA) die Verbringung genehmigt hat oder entschieden hat, dass es keiner Genehmigung bedarf.</w:t>
      </w:r>
    </w:p>
    <w:p>
      <w:r>
        <w:t xml:space="preserve">(5) Die Absätze 2 bis 4 gelten nicht, wenn</w:t>
      </w:r>
    </w:p>
    <w:p>
      <w:pPr>
        <w:ind w:left="420"/>
      </w:pPr>
      <w:r>
        <w:t xml:space="preserve">1. die Ausfuhr der Güter gemäß § 8 oder § 9 einer Genehmigung bedarf und für eine derartige Ausfuhr eine Allgemeingenehmigung vorliegt,</w:t>
      </w:r>
    </w:p>
    <w:p>
      <w:pPr>
        <w:ind w:left="420"/>
      </w:pPr>
      <w:r>
        <w:t xml:space="preserve">2. die Güter an dem Bestimmungsziel innerhalb des Zollgebiets der Europäischen Union, in das sie verbracht werden sollen, einer Verarbeitung oder Bearbeitung im Sinne des Artikels 60 Absatz 2 der Verordnung (EU) Nr. 952/2013 des Europäischen Parlaments und des Rates vom 9. Oktober 2013 zur Festlegung des Zollkodex der Union (ABl. L 269 vom 10.10.2013, S. 1), unterzogen werden sollen oder</w:t>
      </w:r>
    </w:p>
    <w:p>
      <w:pPr>
        <w:ind w:left="420"/>
      </w:pPr>
      <w:r>
        <w:t xml:space="preserve">3. Güter im Wert von nicht mehr als 5 000 Euro geliefert werden sollen; die Verbringung von Software und Technologie ist unabhängig von ihrem Wert stets genehmigungspflichtig.</w:t>
      </w:r>
    </w:p>
    <w:p>
      <w:r>
        <w:rPr>
          <w:color w:val="555555"/>
          <w:sz w:val="17"/>
        </w:rPr>
        <w:t xml:space="preserve">Zitiervorschlag: § 11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