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AWV 2013 — Beantragung von Genehmigungen</w:t>
      </w:r>
    </w:p>
    <w:p>
      <w:r>
        <w:rPr>
          <w:color w:val="555555"/>
          <w:sz w:val="18"/>
        </w:rPr>
        <w:t xml:space="preserve">Außenwirtschaftsverordnung</w:t>
      </w:r>
    </w:p>
    <w:p>
      <w:r>
        <w:rPr>
          <w:color w:val="555555"/>
          <w:sz w:val="18"/>
        </w:rPr>
        <w:t xml:space="preserve">Stand: 10.06.2019 (konsolidierte Textfassung, kein amtliches Inkrafttretensdatum)</w:t>
      </w:r>
    </w:p>
    <w:p>
      <w:r>
        <w:t xml:space="preserve">(1) Anträge auf Erteilung einer Genehmigung können, wenn im Folgenden nichts anderes bestimmt ist, von jedem gestellt werden, der das genehmigungsbedürftige Rechtsgeschäft oder die genehmigungsbedürftige Handlung vornimmt. Antragsberechtigt ist auch, wer einen Anspruch aus dem Rechtsgeschäft herleitet oder einen Anspruch auf Vornahme der Handlung geltend macht.</w:t>
      </w:r>
    </w:p>
    <w:p>
      <w:r>
        <w:t xml:space="preserve">(2) Genehmigungen in der Form der Allgemeinverfügung (§ 35 Satz 2 des Verwaltungsverfahrensgesetzes) werden von Amts wegen erteilt.</w:t>
      </w:r>
    </w:p>
    <w:p>
      <w:r>
        <w:rPr>
          <w:color w:val="555555"/>
          <w:sz w:val="17"/>
        </w:rPr>
        <w:t xml:space="preserve">Zitiervorschlag: § 1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