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AWPrV — Handlungsbereiche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Die Prüfung erstreckt sich auf die folgenden Handlungsbereiche:</w:t>
      </w:r>
    </w:p>
    <w:p>
      <w:pPr>
        <w:ind w:left="420"/>
      </w:pPr>
      <w:r>
        <w:t xml:space="preserve">1. International Business Management umsetzen,</w:t>
      </w:r>
    </w:p>
    <w:p>
      <w:pPr>
        <w:ind w:left="420"/>
      </w:pPr>
      <w:r>
        <w:t xml:space="preserve">2. Risk- und Changemanagement sicherstellen,</w:t>
      </w:r>
    </w:p>
    <w:p>
      <w:pPr>
        <w:ind w:left="420"/>
      </w:pPr>
      <w:r>
        <w:t xml:space="preserve">3. Außenhandelsgeschäfte durchführen und</w:t>
      </w:r>
    </w:p>
    <w:p>
      <w:pPr>
        <w:ind w:left="420"/>
      </w:pPr>
      <w:r>
        <w:t xml:space="preserve">4. Kommunikation, Führung und Zusammenarbeit mit internen und externen Partnern sicherstellen.</w:t>
      </w:r>
    </w:p>
    <w:p>
      <w:r>
        <w:rPr>
          <w:color w:val="555555"/>
          <w:sz w:val="17"/>
        </w:rPr>
        <w:t xml:space="preserve">Zitiervorschlag: § 4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