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AWPrV — Ziel der Prüfung und Bezeichnung des Fortbildungsabschlusses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Mit der Prüfung zum anerkannten Fortbildungsabschluss Geprüfter Fachwirt für Außenwirtschaft und Geprüfte Fachwirtin für Außenwirtschaft soll die auf einen beruflichen Aufstieg abzielende Erweiterung der beruflichen Handlungsfähigkeit nachgewiesen werden.</w:t>
      </w:r>
    </w:p>
    <w:p>
      <w:r>
        <w:t xml:space="preserve">(2) Die Prüfung wird von der zuständigen Stelle durchgeführt.</w:t>
      </w:r>
    </w:p>
    <w:p>
      <w:r>
        <w:t xml:space="preserve">(3) Durch die Erweiterung der beruflichen Handlungsfähigkeit soll der Geprüfte Fachwirt für Außenwirtschaft oder die Geprüfte Fachwirtin für Außenwirtschaft in der Lage sein, insbesondere in Handels-, Industrie- und Dienstleistungsunternehmen alle Fach- und Führungsaufgaben zur Planung, Anbahnung und Abwicklung von Auslandsgeschäften unter Berücksichtigung der ökonomischen, ökologischen und ethischen Handlungsfelder eines nachhaltigen Wirtschaftens eigenständig und verantwortlich wahrnehmen zu können:</w:t>
      </w:r>
    </w:p>
    <w:p>
      <w:pPr>
        <w:ind w:left="420"/>
      </w:pPr>
      <w:r>
        <w:t xml:space="preserve">1. Unterstützung der Entwicklung von internationalen Markteintritts- und Wertschöpfungsstrategien,</w:t>
      </w:r>
    </w:p>
    <w:p>
      <w:pPr>
        <w:ind w:left="420"/>
      </w:pPr>
      <w:r>
        <w:t xml:space="preserve">2. Erarbeiten, Umsetzen und Auswerten von länderspezifischen Marketingkonzepten sowie Wahrnehmen des erforderlichen Projektmanagements,</w:t>
      </w:r>
    </w:p>
    <w:p>
      <w:pPr>
        <w:ind w:left="420"/>
      </w:pPr>
      <w:r>
        <w:t xml:space="preserve">3. Berücksichtigung von Aspekten des interkulturellen Managements,</w:t>
      </w:r>
    </w:p>
    <w:p>
      <w:pPr>
        <w:ind w:left="420"/>
      </w:pPr>
      <w:r>
        <w:t xml:space="preserve">4. Berücksichtigen der Leitlinien der Geschäftsethik, der Governance und der Nachhaltigkeit,</w:t>
      </w:r>
    </w:p>
    <w:p>
      <w:pPr>
        <w:ind w:left="420"/>
      </w:pPr>
      <w:r>
        <w:t xml:space="preserve">5. Anwenden von Risk- und Changemanagement im internationalen Geschäft,</w:t>
      </w:r>
    </w:p>
    <w:p>
      <w:pPr>
        <w:ind w:left="420"/>
      </w:pPr>
      <w:r>
        <w:t xml:space="preserve">6. Abwicklung und Kalkulation von internationalen Geschäften unter Berücksichtigung von rechtlichen und steuerlichen Vorschriften sowie von bilateralen, supranationalen und internationalen Abkommen,</w:t>
      </w:r>
    </w:p>
    <w:p>
      <w:pPr>
        <w:ind w:left="420"/>
      </w:pPr>
      <w:r>
        <w:t xml:space="preserve">7. Auswählen und Anwenden von internationalen Finanzierungs- und Absicherungsmöglichkeiten für Außenwirtschaftsgeschäfte,</w:t>
      </w:r>
    </w:p>
    <w:p>
      <w:pPr>
        <w:ind w:left="420"/>
      </w:pPr>
      <w:r>
        <w:t xml:space="preserve">8. Prüfen von vertraglichen und länderspezifischen Rahmenbedingungen von Außenwirtschaftsgeschäften,</w:t>
      </w:r>
    </w:p>
    <w:p>
      <w:pPr>
        <w:ind w:left="420"/>
      </w:pPr>
      <w:r>
        <w:t xml:space="preserve">9. Führen von Mitarbeiterinnen und Mitarbeitern und Fördern ihrer beruflichen Entwicklung,</w:t>
      </w:r>
    </w:p>
    <w:p>
      <w:pPr>
        <w:ind w:left="420"/>
      </w:pPr>
      <w:r>
        <w:t xml:space="preserve">10. Kooperieren mit Geschäftspartnern und internen Unternehmensbereichen, Kommunikation kunden- und dienstleistungsorientiert gestalten sowie</w:t>
      </w:r>
    </w:p>
    <w:p>
      <w:pPr>
        <w:ind w:left="420"/>
      </w:pPr>
      <w:r>
        <w:t xml:space="preserve">11. Durchführen und Organisieren der Berufsausbildung.</w:t>
      </w:r>
    </w:p>
    <w:p>
      <w:r>
        <w:t xml:space="preserve">(4) Die erfolgreich abgelegte Prüfung führt zum anerkannten Fortbildungsabschluss Geprüfter Fachwirt für Außenwirtschaft oder Geprüfte Fachwirtin für Außenwirtschaft.</w:t>
      </w:r>
    </w:p>
    <w:p>
      <w:r>
        <w:rPr>
          <w:color w:val="555555"/>
          <w:sz w:val="17"/>
        </w:rPr>
        <w:t xml:space="preserve">Zitiervorschlag: § 2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