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AWPädFortbV — Zulassungsvoraussetzungen</w:t>
      </w:r>
    </w:p>
    <w:p>
      <w:r>
        <w:rPr>
          <w:color w:val="555555"/>
          <w:sz w:val="18"/>
        </w:rPr>
        <w:t xml:space="preserve">Verordnung über die Prüfung zum anerkannten Fortbildungsabschluss Geprüfter Aus- und Weiterbildungspädagoge/Geprüfte Aus- und Weiterbildungspädagogin</w:t>
      </w:r>
    </w:p>
    <w:p>
      <w:r>
        <w:rPr>
          <w:color w:val="555555"/>
          <w:sz w:val="18"/>
        </w:rPr>
        <w:t xml:space="preserve">Stand: 10.06.2019 (konsolidierte Textfassung, kein amtliches Inkrafttretensdatum)</w:t>
      </w:r>
    </w:p>
    <w:p>
      <w:r>
        <w:t xml:space="preserve">(1) Zur Prüfung ist zuzulassen, wer</w:t>
      </w:r>
    </w:p>
    <w:p>
      <w:pPr>
        <w:ind w:left="420"/>
      </w:pPr>
      <w:r>
        <w:t xml:space="preserve">1. einen Abschluss in einem anerkannten mindestens dreijährigen Ausbildungsberuf und eine anschließende mindestens einjährige Berufspraxis oder</w:t>
      </w:r>
    </w:p>
    <w:p>
      <w:pPr>
        <w:ind w:left="420"/>
      </w:pPr>
      <w:r>
        <w:t xml:space="preserve">2. in einem sonstigen anerkannten Ausbildungsberuf und eine anschließende mindestens zweijährige Berufspraxis und</w:t>
      </w:r>
    </w:p>
    <w:p>
      <w:r>
        <w:t xml:space="preserve">eine erfolgreich abgelegte Prüfung nach § 4 der Ausbilder-Eignungsverordnung oder eine vergleichbare berufs- und arbeitspädagogische Qualifikation nachweist.</w:t>
      </w:r>
    </w:p>
    <w:p>
      <w:r>
        <w:t xml:space="preserve">(2) Die Berufspraxis nach Absatz 1 muss inhaltlich wesentliche Bezüge zu den in § 1 Absatz 2 genannten Aufgaben sowie zu fachlichen Tätigkeiten der Ausbildungsberufe des Absatzes 1 haben.</w:t>
      </w:r>
    </w:p>
    <w:p>
      <w:r>
        <w:t xml:space="preserve">(3) Abweichend von den in den Absätzen 1 und 2 genannten Voraussetzungen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AWPädFortbV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https://recht.nulegal.eu/gesetze/AWP%C3%A4dFortbV/2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