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AWG 2013 — Einzeleingriff im Seeverkehr außerhalb des deutschen Küstenmeeres</w:t>
      </w:r>
    </w:p>
    <w:p>
      <w:r>
        <w:rPr>
          <w:color w:val="555555"/>
          <w:sz w:val="18"/>
        </w:rPr>
        <w:t xml:space="preserve">Außenwirtschaftsgesetz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Um eine im Einzelfall bestehende Gefahr für die in § 4 Absatz 1 genannten Rechtsgüter abzuwenden, welche seewärts der Grenze des deutschen Küstenmeeres durch die Beförderung von Gütern an Bord eines die Bundesflagge führenden Seeschiffes verursacht wird, können nach § 6 Absatz 1 insbesondere notwendige Maßnahmen zur Lenkung, Beschleunigung und Beschränkung der Beförderung der Güter sowie des Umschlags und der Entladung der Güter angeordnet werden.</w:t>
      </w:r>
    </w:p>
    <w:p>
      <w:r>
        <w:t xml:space="preserve">(2) Die Maßnahmen nach Absatz 1 können gegen den Eigentümer, den Ausrüster, den Charterer, den Schiffsführer oder den sonstigen Inhaber der tatsächlichen Gewalt gerichtet werden.</w:t>
      </w:r>
    </w:p>
    <w:p>
      <w:r>
        <w:t xml:space="preserve">(3) Der Eigentümer, Ausrüster, Charterer, Schiffsführer oder der sonstige Inhaber der tatsächlichen Gewalt ist verpflichtet, auf Verlangen unverzüglich Angaben zu machen über</w:t>
      </w:r>
    </w:p>
    <w:p>
      <w:pPr>
        <w:ind w:left="420"/>
      </w:pPr>
      <w:r>
        <w:t xml:space="preserve">1. Art und Umfang der Ladung,</w:t>
      </w:r>
    </w:p>
    <w:p>
      <w:pPr>
        <w:ind w:left="420"/>
      </w:pPr>
      <w:r>
        <w:t xml:space="preserve">2. den seit dem letzten Auslaufen zurückgelegten und den beabsichtigten Reiseweg,</w:t>
      </w:r>
    </w:p>
    <w:p>
      <w:pPr>
        <w:ind w:left="420"/>
      </w:pPr>
      <w:r>
        <w:t xml:space="preserve">3. die voraussichtliche Reisezeit sowie</w:t>
      </w:r>
    </w:p>
    <w:p>
      <w:pPr>
        <w:ind w:left="420"/>
      </w:pPr>
      <w:r>
        <w:t xml:space="preserve">4. den Bestimmungshafen.</w:t>
      </w:r>
    </w:p>
    <w:p>
      <w:r>
        <w:t xml:space="preserve">(4) Der Eigentümer eines in der Seeschifffahrt unter ausländischer Flagge betriebenen Schiffs, das in ein deutsches Schiffsregister eingetragen ist, stellt sicher, dass zur Abwehr einer Gefahr für die in § 4 Absatz 1 genannten Rechtsgüter auf Verlangen die erforderlichen Angaben unverzüglich und im gleichen Umfang übermittelt werden, wie dies nach Absatz 3 für Schiffe unter der Bundesflagge vorgesehen ist.</w:t>
      </w:r>
    </w:p>
    <w:p>
      <w:r>
        <w:t xml:space="preserve">(5) § 4 Absatz 3 und 4, § 5 Absatz 5 und § 6 Absatz 2 gelten entsprechend.</w:t>
      </w:r>
    </w:p>
    <w:p>
      <w:r>
        <w:rPr>
          <w:color w:val="555555"/>
          <w:sz w:val="17"/>
        </w:rPr>
        <w:t xml:space="preserve">Zitiervorschlag: § 7 AWG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https://recht.nulegal.eu/gesetze/AWG%202013/7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