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6g AWG 2013 — Verjährung der Haftungsansprüche gegen den Anteilspfleger</w:t>
      </w:r>
    </w:p>
    <w:p>
      <w:r>
        <w:rPr>
          <w:color w:val="555555"/>
          <w:sz w:val="18"/>
        </w:rPr>
        <w:t xml:space="preserve">Außenwirtschaftsgesetz</w:t>
      </w:r>
    </w:p>
    <w:p>
      <w:r>
        <w:rPr>
          <w:color w:val="555555"/>
          <w:sz w:val="18"/>
        </w:rPr>
        <w:t xml:space="preserve">Stand: 06.02.2026 (konsolidierte Textfassung, kein amtliches Inkrafttretensdatum)</w:t>
      </w:r>
    </w:p>
    <w:p>
      <w:r>
        <w:t xml:space="preserve">Die Verjährung des Anspruchs nach § 6f richtet sich nach den Vorschriften des Bürgerlichen Gesetzbuchs.</w:t>
      </w:r>
    </w:p>
    <w:p>
      <w:r>
        <w:rPr>
          <w:color w:val="555555"/>
          <w:sz w:val="17"/>
        </w:rPr>
        <w:t xml:space="preserve">Zitiervorschlag: § 6g AWG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https://recht.nulegal.eu/gesetze/AWG%202013/6g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