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6f AWG 2013 — Haftung des Anteilspflegers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(1) Der Anteilspfleger ist dem Gesellschafter, dessen Rechte und Pflichten er wahrnimmt, zum Schadensersatz nur verpflichtet, wenn er den Schaden grob fahrlässig oder vorsätzlich verursacht hat.</w:t>
      </w:r>
    </w:p>
    <w:p>
      <w:r>
        <w:t xml:space="preserve">(2) Soweit sich der Anteilspfleger zur Erfüllung der ihm obliegenden Pflichten Dritter bedient, hat der Anteilspfleger ein Verschulden dieser Personen nicht gemäß § 278 des Bürgerlichen Gesetzbuchs zu vertreten, sondern ist nur für deren Überwachung und für Entscheidungen von besonderer Bedeutung verantwortlich.</w:t>
      </w:r>
    </w:p>
    <w:p>
      <w:r>
        <w:rPr>
          <w:color w:val="555555"/>
          <w:sz w:val="17"/>
        </w:rPr>
        <w:t xml:space="preserve">Zitiervorschlag: § 6f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https://recht.nulegal.eu/gesetze/AWG%202013/6f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