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6a AWG 2013 — Treuhandverwaltung von Unternehmen anlässlich der Durchführung von Sanktionsmaßnahmen</w:t>
      </w:r>
    </w:p>
    <w:p>
      <w:r>
        <w:rPr>
          <w:color w:val="555555"/>
          <w:sz w:val="18"/>
        </w:rPr>
        <w:t xml:space="preserve">Außenwirtschaftsgesetz</w:t>
      </w:r>
    </w:p>
    <w:p>
      <w:r>
        <w:rPr>
          <w:color w:val="555555"/>
          <w:sz w:val="18"/>
        </w:rPr>
        <w:t xml:space="preserve">Stand: 06.02.2026 (konsolidierte Textfassung, kein amtliches Inkrafttretensdatum)</w:t>
      </w:r>
    </w:p>
    <w:p>
      <w:r>
        <w:t xml:space="preserve">(1) Ein inländisches Unternehmen, das einem Geschäftsverbot nach Artikel 5aa Absatz 1 Buchstabe c der Verordnung (EU) Nr. 833/2014 unterliegt und das selbst oder dessen verbundenes Unternehmen im Sinne von § 15 des Aktiengesetzes ein inländisches Unternehmen im Sinne des § 55a Absatz 1 der Außenwirtschaftsverordnung vom 2. August 2013 (BGBl. I S. 2865), die zuletzt durch Artikel 2 der Verordnung vom 11. Dezember 2024 (BGBl. I 2024 Nr. 411) geändert worden ist, ist, kann unter Treuhandverwaltung gestellt werden, wenn ohne eine Treuhandverwaltung eine konkrete Gefahr im Einzelfall für die in § 4 Absatz 1, auch in Verbindung mit Absatz 2, genannten Rechtsgüter besteht. Die Treuhandverwaltung kann bei Vorliegen der in Satz 1 genannten Voraussetzungen auch angeordnet werden, wenn das Unternehmen bereits auf der Grundlage anderer gesetzlicher Bestimmungen einer öffentlich-rechtlichen Treuhandverwaltung oder einer gesetzlich angeordneten oder behördlich genehmigten vergleichbaren Firewall-Maßnahme unterliegt und die Treuhandverwaltung nach Satz 1 diese Maßnahmen ersetzen soll. Der Anordnung einer Treuhandverwaltung steht es nicht entgegen, wenn das Unternehmen einen Antrag auf Bestellung eines Anteilspflegers nach § 6b Absatz 1 Satz 1 gestellt hat.</w:t>
      </w:r>
    </w:p>
    <w:p>
      <w:r>
        <w:t xml:space="preserve">(2) Die Anordnung der Treuhandverwaltung erfolgt durch Verwaltungsakt. Der Verwaltungsakt kann öffentlich bekannt gegeben werden. Eine öffentliche Bekanntgabe wird durch Veröffentlichung des Verwaltungsakts im Bundesanzeiger bewirkt. Der Verwaltungsakt wird mit dieser Veröffentlichung wirksam. Vor Anordnung der Treuhandverwaltung kann das Bundesministerium für Wirtschaft und Energie von einer Anhörung nach § 28 Absatz 1 des Verwaltungsverfahrensgesetzes absehen, soweit diese mit unverhältnismäßigem Aufwand verbunden wäre oder den Zweck der Anordnung der Treuhandverwaltung gefährden würde.</w:t>
      </w:r>
    </w:p>
    <w:p>
      <w:r>
        <w:t xml:space="preserve">(3) Das Bundesministerium für Wirtschaft und Energie überprüft das Fortbestehen der Voraussetzungen für die Anordnung der Treuhandverwaltung alle sechs Monate. Die Anordnung der Treuhandverwaltung ist durch Verwaltungsakt aufzuheben, wenn die Voraussetzungen für die Anordnung nach Absatz 1 entfallen sind. Die Anordnung der Treuhandverwaltung erlischt, wenn Artikel 5aa Absatz 1 Buchstabe c der Verordnung (EU) Nr. 833/2014 aufgehoben wird. Wurde die Anordnung der Treuhandverwaltung öffentlich bekannt gegeben nach Absatz 2 Satz 2, ist auch die Aufhebung oder das Erlöschen der Anordnung der Treuhandverwaltung von Amts wegen im Bundesanzeiger zu veröffentlichen.</w:t>
      </w:r>
    </w:p>
    <w:p>
      <w:r>
        <w:t xml:space="preserve">(4) Die Anordnung einer Treuhandverwaltung nach Absatz 2 Satz 1 kann insbesondere vorsehen, dass</w:t>
      </w:r>
    </w:p>
    <w:p>
      <w:pPr>
        <w:ind w:left="420"/>
      </w:pPr>
      <w:r>
        <w:t xml:space="preserve">1. die Wahrnehmung der Stimmrechte einzelner oder sämtlicher sanktionierter Gesellschafter des Unternehmens ausgeschlossen ist,</w:t>
      </w:r>
    </w:p>
    <w:p>
      <w:pPr>
        <w:ind w:left="420"/>
      </w:pPr>
      <w:r>
        <w:t xml:space="preserve">2. die Stimmrechte aus einzelnen oder sämtlichen Anteilen an dem Unternehmen auf eine Stelle des Bundes übergehen und diese Stelle berechtigt ist, Mitglieder der Geschäftsleitung abzuberufen, neu zu bestellen sowie der Geschäftsleitung Weisungen zu erteilen,</w:t>
      </w:r>
    </w:p>
    <w:p>
      <w:pPr>
        <w:ind w:left="420"/>
      </w:pPr>
      <w:r>
        <w:t xml:space="preserve">3. die Verwaltungs- und Verfügungsbefugnis der Geschäftsleitung in Bezug auf das Vermögen des Unternehmens beschränkt ist und Verfügungen unter dem Vorbehalt der Zustimmung der nach Nummer 2 benannten Stelle des Bundes stehen.</w:t>
      </w:r>
    </w:p>
    <w:p>
      <w:r>
        <w:t xml:space="preserve">Die Übertragung von Anteilen an dem unter Treuhandverwaltung gestellten Unternehmen durch den Treuhänder ist nicht zulässig.</w:t>
      </w:r>
    </w:p>
    <w:p>
      <w:r>
        <w:t xml:space="preserve">(5) Eine Anfechtungsklage gegen einen Verwaltungsakt nach Absatz 2 Satz 1 hat keine aufschiebende Wirkung. Das Oberverwaltungsgericht entscheidet im ersten Rechtszug über eine Anfechtungsklage nach Satz 1 und über Anträge nach den §§ 80 und 80a der Verwaltungsgerichtsordnung. Abweichend von § 113 Absatz 1 Satz 1 der Verwaltungsgerichtsordnung entscheidet das Oberverwaltungsgericht auch darüber, dass Rechtshandlungen im Fall einer Aufhebung eines Verwaltungsakts nach Absatz 2 Satz 1 wirksam bleiben können.</w:t>
      </w:r>
    </w:p>
    <w:p>
      <w:r>
        <w:t xml:space="preserve">(6) Soweit die Rechtswirkungen eines Verwaltungsakts nach Absatz 2 Satz 1 über die Sozialbindung des Eigentums nach Artikel 14 Absatz 2 des Grundgesetzes hinausgehen, ist ein angemessener Ausgleich zu leisten. Der Ausgleich wird auf Antrag durch das Bundesministerium für Wirtschaft und Energie im Einvernehmen mit dem Bundesministerium der Finanzen durch Verwaltungsakt festgesetzt. Der Antrag setzt voraus, dass sich der Antragsteller auf das Grundrecht aus Artikel 14 Absatz 1 Satz 1 des Grundgesetzes berufen kann, und kann nur innerhalb eines Monats nach Beendigung der Treuhandverwaltung gestellt werden. Gegen den Verwaltungsakt des Bundesministeriums für Wirtschaft und Energie nach Satz 2 ist der Verwaltungsrechtsweg gegeben.</w:t>
      </w:r>
    </w:p>
    <w:p>
      <w:r>
        <w:t xml:space="preserve">(7) Die Kosten der Treuhandverwaltung hat das unter Treuhandverwaltung gestellte Unternehmen zu tragen, das auf Verlangen der nach Absatz 4 Satz 1 Nummer 2 benannten Stelle des Bundes hierauf Vorschüsse zu leisten hat.</w:t>
      </w:r>
    </w:p>
    <w:p>
      <w:r>
        <w:t xml:space="preserve">(8) § 4 Absatz 4 gilt entsprechend.</w:t>
      </w:r>
    </w:p>
    <w:p>
      <w:r>
        <w:rPr>
          <w:color w:val="555555"/>
          <w:sz w:val="17"/>
        </w:rPr>
        <w:t xml:space="preserve">Zitiervorschlag: § 6a AWG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https://recht.nulegal.eu/gesetze/AWG%202013/6a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