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AWG 2013 — Einzeleingriff</w:t>
      </w:r>
    </w:p>
    <w:p>
      <w:r>
        <w:rPr>
          <w:color w:val="555555"/>
          <w:sz w:val="18"/>
        </w:rPr>
        <w:t xml:space="preserve">Außenwirtschaftsgesetz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Im Außenwirtschaftsverkehr können auch durch Verwaltungsakt Rechtsgeschäfte oder Handlungen beschränkt oder Handlungspflichten angeordnet werden, um eine im Einzelfall bestehende Gefahr für die in § 4 Absatz 1, auch in Verbindung mit Absatz 2, genannten Rechtsgüter abzuwenden. Insbesondere können</w:t>
      </w:r>
    </w:p>
    <w:p>
      <w:pPr>
        <w:ind w:left="420"/>
      </w:pPr>
      <w:r>
        <w:t xml:space="preserve">1. die Verfügung über Gelder und wirtschaftliche Ressourcen bestimmter Personen oder rechtsfähiger Personengesellschaften oder</w:t>
      </w:r>
    </w:p>
    <w:p>
      <w:pPr>
        <w:ind w:left="420"/>
      </w:pPr>
      <w:r>
        <w:t xml:space="preserve">2. das Bereitstellen von Geldern und wirtschaftlichen Ressourcen zu Gunsten bestimmter Personen oder rechtsfähiger Personengesellschaften</w:t>
      </w:r>
    </w:p>
    <w:p>
      <w:r>
        <w:t xml:space="preserve">beschränkt werden.</w:t>
      </w:r>
    </w:p>
    <w:p>
      <w:r>
        <w:t xml:space="preserve">(1a) Ein Verwaltungsakt nach Absatz 1 darf öffentlich bekannt gegeben werden. Die öffentliche Bekanntgabe wird durch Veröffentlichung des Verwaltungsakts im Bundesanzeiger bewirkt. Der Verwaltungsakt wird mit dieser Veröffentlichung wirksam.</w:t>
      </w:r>
    </w:p>
    <w:p>
      <w:r>
        <w:t xml:space="preserve">(2) Die Anordnung tritt sechs Monate nach ihrem Erlass außer Kraft, sofern die Beschränkung oder Handlungspflicht nicht durch Rechtsverordnung vorgeschrieben wird. Satz 1 gilt nicht für einen Verwaltungsakt nach Absatz 1 Satz 2, soweit durch Nebenbestimmungen eine abweichende Geltungsdauer bestimmt ist.</w:t>
      </w:r>
    </w:p>
    <w:p>
      <w:r>
        <w:t xml:space="preserve">(3) § 4 Absatz 3 und 4 und § 5 Absatz 5 gelten entsprechend.</w:t>
      </w:r>
    </w:p>
    <w:p>
      <w:r>
        <w:rPr>
          <w:color w:val="555555"/>
          <w:sz w:val="17"/>
        </w:rPr>
        <w:t xml:space="preserve">Zitiervorschlag: § 6 AWG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https://recht.nulegal.eu/gesetze/AWG%202013/6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