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AWG 2013 — Gegenstand von Beschränkungen</w:t>
      </w:r>
    </w:p>
    <w:p>
      <w:r>
        <w:rPr>
          <w:color w:val="555555"/>
          <w:sz w:val="18"/>
        </w:rPr>
        <w:t xml:space="preserve">Außenwirtschaftsgesetz</w:t>
      </w:r>
    </w:p>
    <w:p>
      <w:r>
        <w:rPr>
          <w:color w:val="555555"/>
          <w:sz w:val="18"/>
        </w:rPr>
        <w:t xml:space="preserve">Stand: 21.07.2020 (konsolidierte Textfassung, kein amtliches Inkrafttretensdatum)</w:t>
      </w:r>
    </w:p>
    <w:p>
      <w:r>
        <w:t xml:space="preserve">(1) Beschränkungen oder Handlungspflichten nach § 4 Absatz 1 können insbesondere angeordnet werden für Rechtsgeschäfte oder Handlungen in Bezug auf</w:t>
      </w:r>
    </w:p>
    <w:p>
      <w:pPr>
        <w:ind w:left="420"/>
      </w:pPr>
      <w:r>
        <w:t xml:space="preserve">1. Waffen, Munition und sonstige Rüstungsgüter sowie Güter für die Entwicklung, Herstellung oder den Einsatz von Waffen, Munition und Rüstungsgütern; dies gilt insbesondere dann, wenn die Beschränkung dazu dient, in internationaler Zusammenarbeit vereinbarte Ausfuhrkontrollen durchzuführen,</w:t>
      </w:r>
    </w:p>
    <w:p>
      <w:pPr>
        <w:ind w:left="420"/>
      </w:pPr>
      <w:r>
        <w:t xml:space="preserve">2. Güter, die zur Durchführung militärischer Aktionen bestimmt sind.</w:t>
      </w:r>
    </w:p>
    <w:p>
      <w:r>
        <w:t xml:space="preserve">(2) Beschränkungen oder Handlungspflichten nach § 4 Absatz 1 Nummer 4 können insbesondere angeordnet werden in Bezug auf den Erwerb inländischer Unternehmen oder von Anteilen an solchen Unternehmen durch unionsfremde Erwerber, wenn infolge des Erwerbs die öffentliche Ordnung oder Sicherheit der Bundesrepublik Deutschland oder eines anderen Mitgliedstaates der Europäischen Union nach § 4 Absatz 1 Nummer 4 voraussichtlich beeinträchtigt wird. Satz 1 gilt im Fall des § 4 Absatz 1 Nummer 4a entsprechend. Unionsfremde Erwerber aus den Mitgliedstaaten der Europäischen Freihandelsassoziation stehen unionsansässigen Erwerbern gleich.</w:t>
      </w:r>
    </w:p>
    <w:p>
      <w:r>
        <w:t xml:space="preserve">(3) Beschränkungen oder Handlungspflichten nach § 4 Absatz 1 Nummer 1 können insbesondere angeordnet werden in Bezug auf den Erwerb inländischer Unternehmen oder von Anteilen an solchen Unternehmen durch Ausländer, um wesentliche Sicherheitsinteressen der Bundesrepublik Deutschland zu gewährleisten, wenn die inländischen Unternehmen</w:t>
      </w:r>
    </w:p>
    <w:p>
      <w:pPr>
        <w:ind w:left="420"/>
      </w:pPr>
      <w:r>
        <w:t xml:space="preserve">1. Kriegswaffen oder andere Rüstungsgüter herstellen, entwickeln, modifizieren oder die tatsächliche Gewalt über solche Güter innehaben oder in der Vergangenheit hergestellt, entwickelt, modifiziert oder die tatsächliche Gewalt über solche Güter innegehabt haben und noch über Kenntnisse oder sonstigen Zugang zu der solchen Gütern zugrunde liegenden Technologie verfügen oder</w:t>
      </w:r>
    </w:p>
    <w:p>
      <w:pPr>
        <w:ind w:left="420"/>
      </w:pPr>
      <w:r>
        <w:t xml:space="preserve">2. Produkte mit IT-Sicherheitsfunktionen zur Verarbeitung staatlicher Verschlusssachen oder für die IT-Sicherheitsfunktion wesentliche Komponenten solcher Produkte herstellen oder hergestellt haben und noch über die dabei zugrunde liegende Technologie verfügen und die Produkte mit Wissen des Unternehmens vom Bundesamt für Sicherheit in der Informationstechnik zugelassen wurden.</w:t>
      </w:r>
    </w:p>
    <w:p>
      <w:r>
        <w:t xml:space="preserve">Satz 1 gilt insbesondere dann, wenn infolge des Erwerbs die sicherheitspolitischen Interessen der Bundesrepublik Deutschland oder die militärische Sicherheitsvorsorge gefährdet sind.</w:t>
      </w:r>
    </w:p>
    <w:p>
      <w:r>
        <w:t xml:space="preserve">(4) Beschränkungen oder Handlungspflichten nach § 4 Absatz 1 Nummer 5 können auch angeordnet werden in Bezug auf Güter, die nicht in Absatz 1 genannt sind. Dies setzt voraus, dass eine tatsächliche und hinreichend schwere Gefährdung vorliegt, die ein Grundinteresse der Gesellschaft berührt.</w:t>
      </w:r>
    </w:p>
    <w:p>
      <w:r>
        <w:t xml:space="preserve">(5) Beschränkungen oder Handlungspflichten nach § 4 Absatz 1 können auch angeordnet werden in Bezug auf Rechtsgeschäfte oder Handlungen Deutscher im Ausland, die sich auf Güter im Sinne des Absatzes 1 einschließlich ihrer Entwicklung und Herstellung beziehen.</w:t>
      </w:r>
    </w:p>
    <w:p>
      <w:r>
        <w:rPr>
          <w:color w:val="555555"/>
          <w:sz w:val="17"/>
        </w:rPr>
        <w:t xml:space="preserve">Zitiervorschlag: § 5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