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AWG 2013 — Übergangsbestimmungen</w:t>
      </w:r>
    </w:p>
    <w:p>
      <w:r>
        <w:rPr>
          <w:color w:val="555555"/>
          <w:sz w:val="18"/>
        </w:rPr>
        <w:t xml:space="preserve">Außenwirtschaftsgesetz</w:t>
      </w:r>
    </w:p>
    <w:p>
      <w:r>
        <w:rPr>
          <w:color w:val="555555"/>
          <w:sz w:val="18"/>
        </w:rPr>
        <w:t xml:space="preserve">Stand: 17.06.2021 (konsolidierte Textfassung, kein amtliches Inkrafttretensdatum)</w:t>
      </w:r>
    </w:p>
    <w:p>
      <w:r>
        <w:t xml:space="preserve">§ 14a ist erstmals auf Unternehmenserwerbe anzuwenden, von denen das Bundesministerium für Wirtschaft und Energie nach dem 17. Juli 2020 Kenntnis erlangt. Für vor dem in Satz 1 genannten Tag bekannt gewordene Unternehmenserwerbe sind die §§ 55, 57, 58, 59, 61 und 62 der Außenwirtschaftsverordnung in der am 16. Juli 2020 geltenden Fassung weiter anzuwenden.</w:t>
      </w:r>
    </w:p>
    <w:p>
      <w:r>
        <w:rPr>
          <w:color w:val="555555"/>
          <w:sz w:val="17"/>
        </w:rPr>
        <w:t xml:space="preserve">Zitiervorschlag: § 31 AWG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https://recht.nulegal.eu/gesetze/AWG%202013/31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