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AWG 2013 — Bußgeldvorschriften</w:t>
      </w:r>
    </w:p>
    <w:p>
      <w:r>
        <w:rPr>
          <w:color w:val="555555"/>
          <w:sz w:val="18"/>
        </w:rPr>
        <w:t xml:space="preserve">Außenwirtschaftsgesetz</w:t>
      </w:r>
    </w:p>
    <w:p>
      <w:r>
        <w:rPr>
          <w:color w:val="555555"/>
          <w:sz w:val="18"/>
        </w:rPr>
        <w:t xml:space="preserve">Stand: 06.02.2026 (konsolidierte Textfassung, kein amtliches Inkrafttretensdatum)</w:t>
      </w:r>
    </w:p>
    <w:p>
      <w:r>
        <w:t xml:space="preserve">(1) Ordnungswidrig handelt, wer eine in</w:t>
      </w:r>
    </w:p>
    <w:p>
      <w:pPr>
        <w:ind w:left="420"/>
      </w:pPr>
      <w:r>
        <w:t xml:space="preserve">1. § 18 Absatz 1 Nummer 1 Buchstabe a bis e, g oder h, Nummer 2 oder 4 Buchstabe a bis e, g oder h, Absatz 1a, 2 Nummer 1 bis 6 oder 7, Absatz 3 bis 5a oder 5b oder</w:t>
      </w:r>
    </w:p>
    <w:p>
      <w:pPr>
        <w:ind w:left="420"/>
      </w:pPr>
      <w:r>
        <w:t xml:space="preserve">2. § 18 Absatz 1b oder 2 Nummer 8</w:t>
      </w:r>
    </w:p>
    <w:p>
      <w:r>
        <w:t xml:space="preserve">bezeichnete Handlung fahrlässig begeht.</w:t>
      </w:r>
    </w:p>
    <w:p>
      <w:r>
        <w:t xml:space="preserve">(2) Ordnungswidrig handelt, wer entgegen § 8 Absatz 5, auch in Verbindung mit § 9 Satz 2, eine Angabe nicht richtig oder nicht vollständig macht oder nicht richtig oder nicht vollständig benutzt.</w:t>
      </w:r>
    </w:p>
    <w:p>
      <w:r>
        <w:t xml:space="preserve">(3) Ordnungswidrig handelt, wer vorsätzlich oder fahrlässig</w:t>
      </w:r>
    </w:p>
    <w:p>
      <w:pPr>
        <w:ind w:left="420"/>
      </w:pPr>
      <w:r>
        <w:t xml:space="preserve">1. einer Rechtsverordnung nach</w:t>
      </w:r>
    </w:p>
    <w:p>
      <w:pPr>
        <w:ind w:left="780"/>
      </w:pPr>
      <w:r>
        <w:t xml:space="preserve">a) § 4 Absatz 1 oder</w:t>
      </w:r>
    </w:p>
    <w:p>
      <w:pPr>
        <w:ind w:left="780"/>
      </w:pPr>
      <w:r>
        <w:t xml:space="preserve">b) § 11 Absatz 1 bis 3 oder Absatz 4 oder</w:t>
      </w:r>
    </w:p>
    <w:p>
      <w:pPr>
        <w:ind w:left="420"/>
      </w:pPr>
      <w:r>
        <w:t xml:space="preserve">einer vollziehbaren Anordnung auf Grund einer solchen Rechtsverordnung zuwiderhandelt, soweit die Rechtsverordnung für einen bestimmten Tatbestand auf diese Bußgeldvorschrift verweist und die Tat nicht in § 17 Absatz 1 bis 4 oder Absatz 5 oder § 18 Absatz 2 mit Strafe bedroht ist,</w:t>
      </w:r>
    </w:p>
    <w:p>
      <w:pPr>
        <w:ind w:left="420"/>
      </w:pPr>
      <w:r>
        <w:t xml:space="preserve">2. einer vollziehbaren Anordnung nach § 7 Absatz 1, 3 oder Absatz 4 oder § 23 Absatz 1 oder Absatz 4 Satz 2 zuwiderhandelt,</w:t>
      </w:r>
    </w:p>
    <w:p>
      <w:pPr>
        <w:ind w:left="420"/>
      </w:pPr>
      <w:r>
        <w:t xml:space="preserve">2a. (weggefallen)</w:t>
      </w:r>
    </w:p>
    <w:p>
      <w:pPr>
        <w:ind w:left="420"/>
      </w:pPr>
      <w:r>
        <w:t xml:space="preserve">3. entgegen § 27 Absatz 1 Satz 1 Waren nicht, nicht richtig, nicht vollständig oder nicht rechtzeitig vorzeigt,</w:t>
      </w:r>
    </w:p>
    <w:p>
      <w:pPr>
        <w:ind w:left="420"/>
      </w:pPr>
      <w:r>
        <w:t xml:space="preserve">4. entgegen § 27 Absatz 3 eine Erklärung nicht, nicht richtig, nicht vollständig oder nicht rechtzeitig abgibt oder</w:t>
      </w:r>
    </w:p>
    <w:p>
      <w:pPr>
        <w:ind w:left="420"/>
      </w:pPr>
      <w:r>
        <w:t xml:space="preserve">5. entgegen § 27 Absatz 4 Satz 1 eine Sendung nicht, nicht richtig, nicht vollständig oder nicht rechtzeitig gestellt.</w:t>
      </w:r>
    </w:p>
    <w:p>
      <w:r>
        <w:t xml:space="preserve">(4) Ordnungswidrig handelt, wer vorsätzlich oder fahrlässig einer unmittelbar geltenden Vorschrift in Rechtsakten der Europäischen Union über die Beschränkung des Außenwirtschaftsverkehrs zuwiderhandelt, die inhaltlich einer Regelung entspricht, zu der die in</w:t>
      </w:r>
    </w:p>
    <w:p>
      <w:pPr>
        <w:ind w:left="420"/>
      </w:pPr>
      <w:r>
        <w:t xml:space="preserve">1. Absatz 3 Nummer 1 Buchstabe a oder</w:t>
      </w:r>
    </w:p>
    <w:p>
      <w:pPr>
        <w:ind w:left="420"/>
      </w:pPr>
      <w:r>
        <w:t xml:space="preserve">2. Absatz 3 Nummer 1 Buchstabe b</w:t>
      </w:r>
    </w:p>
    <w:p>
      <w:r>
        <w:t xml:space="preserve">genannten Vorschriften ermächtigen, soweit eine Rechtsverordnung nach Satz 2 für einen bestimmten Tatbestand auf diese Bußgeldvorschrift verweist und die Tat nicht in § 18 Absatz 1, 3 bis 5, 7 oder Absatz 8 mit Strafe bedroht ist. Das Bundesministerium für Wirtschaft und Energie wird ermächtigt, soweit dies zur Durchführung der Rechtsakte der Europäischen Union erforderlich ist, durch Rechtsverordnung ohne Zustimmung des Bundesrates die Tatbestände zu bezeichnen, die als Ordnungswidrigkeit nach Satz 1 geahndet werden können.</w:t>
      </w:r>
    </w:p>
    <w:p>
      <w:r>
        <w:t xml:space="preserve">(5) Ordnungswidrig handelt, wer vorsätzlich oder fahrlässig einem im Amtsblatt der Europäischen Union veröffentlichten unmittelbar geltenden Rechtsakt der Europäischen Union, der der Durchführung einer vom Rat der Europäischen Union im Bereich der Gemeinsamen Außen- und Sicherheitspolitik beschlossenen wirtschaftlichen Sanktionsmaßnahme dient, zuwiderhandelt, indem er</w:t>
      </w:r>
    </w:p>
    <w:p>
      <w:pPr>
        <w:ind w:left="420"/>
      </w:pPr>
      <w:r>
        <w:t xml:space="preserve">1. eine Information nicht, nicht richtig, nicht vollständig oder nicht rechtzeitig übermittelt,</w:t>
      </w:r>
    </w:p>
    <w:p>
      <w:pPr>
        <w:ind w:left="420"/>
      </w:pPr>
      <w:r>
        <w:t xml:space="preserve">2. eine Vorabanmeldung nicht, nicht richtig, nicht vollständig, nicht in der vorgeschriebenen Weise oder nicht rechtzeitig abgibt,</w:t>
      </w:r>
    </w:p>
    <w:p>
      <w:pPr>
        <w:ind w:left="420"/>
      </w:pPr>
      <w:r>
        <w:t xml:space="preserve">3. eine Aufzeichnung von Transaktionen nicht oder nicht für die vorgeschriebene Dauer aufbewahrt oder nicht oder nicht rechtzeitig zur Verfügung stellt oder</w:t>
      </w:r>
    </w:p>
    <w:p>
      <w:pPr>
        <w:ind w:left="420"/>
      </w:pPr>
      <w:r>
        <w:t xml:space="preserve">4. eine zuständige Stelle oder Behörde nicht oder nicht rechtzeitig unterrichtet.</w:t>
      </w:r>
    </w:p>
    <w:p>
      <w:r>
        <w:t xml:space="preserve">(6) Die Ordnungswidrigkeit kann in den Fällen der Absätze 1, 3 Nummer 1 Buchstabe a und des Absatzes 4 Satz 1 Nummer 1 mit einer Geldbuße bis zu fünfhunderttausend Euro, in den übrigen Fällen mit einer Geldbuße bis zu dreißigtausend Euro geahndet werden.</w:t>
      </w:r>
    </w:p>
    <w:p>
      <w:r>
        <w:t xml:space="preserve">(7) Abweichend von § 30 Absatz 2 Satz 1 Nummer 1 des Gesetzes über Ordnungswidrigkeiten beträgt das Höchstmaß der Geldbuße im Falle einer vorsätzlichen Straftat nach § 18 Absatz 1 dieses Gesetzes vierzig Millionen Euro.</w:t>
      </w:r>
    </w:p>
    <w:p>
      <w:r>
        <w:t xml:space="preserve">(8) Abweichend von § 30 Absatz 2 Satz 2 des Gesetzes über Ordnungswidrigkeiten beträgt das Höchstmaß der Geldbuße im Falle einer Ordnungswidrigkeit nach § 130 Absatz 1 des Gesetzes über Ordnungswidrigkeiten in Verbindung mit § 18 Absatz 1 dieses Gesetzes vierzig Millionen Euro.</w:t>
      </w:r>
    </w:p>
    <w:p>
      <w:r>
        <w:rPr>
          <w:color w:val="555555"/>
          <w:sz w:val="17"/>
        </w:rPr>
        <w:t xml:space="preserve">Zitiervorschlag: § 19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