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AWG 2013 — Strafvorschriften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(1) Mit Freiheitsstrafe von einem Jahr bis zu zehn Jahren wird bestraft, wer einer Rechtsverordnung nach § 4 Absatz 1, die der Durchführung</w:t>
      </w:r>
    </w:p>
    <w:p>
      <w:pPr>
        <w:ind w:left="420"/>
      </w:pPr>
      <w:r>
        <w:t xml:space="preserve">1. einer vom Sicherheitsrat der Vereinten Nationen nach Kapitel VII der Charta der Vereinten Nationen oder</w:t>
      </w:r>
    </w:p>
    <w:p>
      <w:pPr>
        <w:ind w:left="420"/>
      </w:pPr>
      <w:r>
        <w:t xml:space="preserve">2. einer vom Rat der Europäischen Union im Bereich der Gemeinsamen Außen- und Sicherheitspolitik</w:t>
      </w:r>
    </w:p>
    <w:p>
      <w:r>
        <w:t xml:space="preserve">beschlossenen wirtschaftlichen Sanktionsmaßnahme dient, oder einer vollziehbaren Anordnung auf Grund einer solchen Rechtsverordnung zuwiderhandelt, soweit die Rechtsverordnung sich auf Güter des Teils I Abschnitt A der Ausfuhrliste bezieht und für einen bestimmten Tatbestand auf diese Strafvorschrift verweist.</w:t>
      </w:r>
    </w:p>
    <w:p>
      <w:r>
        <w:t xml:space="preserve">(1a) Ebenso wird bestraft, wer gegen eine unmittelbar geltende Vorschrift in einem Rechtsakt der Europäischen Union verstößt, der der Durchführung einer vom Rat der Europäischen Union im Bereich der Gemeinsamen Außen- und Sicherheitspolitik beschlossenen wirtschaftlichen Sanktionsmaßnahme dient, indem er einem dort genannten Verbot</w:t>
      </w:r>
    </w:p>
    <w:p>
      <w:pPr>
        <w:ind w:left="420"/>
      </w:pPr>
      <w:r>
        <w:t xml:space="preserve">1. des Handels mit Gütern, der Einfuhr, Ausfuhr, Verbringung, Lieferung, Durchfuhr, Weitergabe oder Beförderung von Gütern oder des Verkaufs oder Kaufs von Gütern oder</w:t>
      </w:r>
    </w:p>
    <w:p>
      <w:pPr>
        <w:ind w:left="420"/>
      </w:pPr>
      <w:r>
        <w:t xml:space="preserve">2. der Erbringung eines Vermittlungsdienstes</w:t>
      </w:r>
    </w:p>
    <w:p>
      <w:r>
        <w:t xml:space="preserve">zuwiderhandelt, wenn sich die Tat auf in der Gemeinsamen Militärgüterliste der Europäischen Union vom 19. Februar 2024 (ABl. C, C/2024/1945, 1.3.2024) aufgeführte Güter und Technologien mit oder ohne Ursprung in der Europäischen Union bezieht.</w:t>
      </w:r>
    </w:p>
    <w:p>
      <w:r>
        <w:t xml:space="preserve">(2) Mit Freiheitsstrafe nicht unter einem Jahr wird bestraft, wer in den Fällen der Absätze 1 und 1a</w:t>
      </w:r>
    </w:p>
    <w:p>
      <w:pPr>
        <w:ind w:left="420"/>
      </w:pPr>
      <w:r>
        <w:t xml:space="preserve">1. für den Geheimdienst einer fremden Macht handelt oder</w:t>
      </w:r>
    </w:p>
    <w:p>
      <w:pPr>
        <w:ind w:left="420"/>
      </w:pPr>
      <w:r>
        <w:t xml:space="preserve">2. gewerbsmäßig oder als Mitglied einer Bande handelt, die sich zur fortgesetzten Begehung solcher Taten verbunden hat.</w:t>
      </w:r>
    </w:p>
    <w:p>
      <w:r>
        <w:t xml:space="preserve">(3) Mit Freiheitsstrafe nicht unter zwei Jahren wird bestraft, wer in den Fällen der Absätze 1 und 1a als Mitglied einer Bande, die sich zur fortgesetzten Begehung solcher Taten verbunden hat, gewerbsmäßig handelt.</w:t>
      </w:r>
    </w:p>
    <w:p>
      <w:r>
        <w:t xml:space="preserve">(4) In minder schweren Fällen der Absätze 1 und 1a ist die Strafe Freiheitsstrafe von drei Monaten bis zu fünf Jahren.</w:t>
      </w:r>
    </w:p>
    <w:p>
      <w:r>
        <w:t xml:space="preserve">(5) Handelt der Täter in den Fällen der Absätze 1 und 1a leichtfertig, so ist die Strafe Freiheitsstrafe bis zu drei Jahren oder Geldstrafe.</w:t>
      </w:r>
    </w:p>
    <w:p>
      <w:r>
        <w:t xml:space="preserve">(6) In den Fällen der Absätze 1 und 1a steht einem Handeln ohne Genehmigung ein Handeln auf Grund einer durch Drohung, Bestechung oder Kollusion erwirkten oder durch unrichtige oder unvollständige Angaben erschlichenen Genehmigung gleich.</w:t>
      </w:r>
    </w:p>
    <w:p>
      <w:r>
        <w:t xml:space="preserve">(7) Die Absätze 1 bis 6 gelten, unabhängig vom Recht des Tatorts, auch für Taten, die im Ausland begangen werden, wenn der Täter Deutscher ist.</w:t>
      </w:r>
    </w:p>
    <w:p>
      <w:r>
        <w:rPr>
          <w:color w:val="555555"/>
          <w:sz w:val="17"/>
        </w:rPr>
        <w:t xml:space="preserve">Zitiervorschlag: § 17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