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AWG 2013 — Urteil und Zwangsvollstreckung</w:t>
      </w:r>
    </w:p>
    <w:p>
      <w:r>
        <w:rPr>
          <w:color w:val="555555"/>
          <w:sz w:val="18"/>
        </w:rPr>
        <w:t xml:space="preserve">Außenwirtschaftsgesetz</w:t>
      </w:r>
    </w:p>
    <w:p>
      <w:r>
        <w:rPr>
          <w:color w:val="555555"/>
          <w:sz w:val="18"/>
        </w:rPr>
        <w:t xml:space="preserve">Stand: 10.06.2019 (konsolidierte Textfassung, kein amtliches Inkrafttretensdatum)</w:t>
      </w:r>
    </w:p>
    <w:p>
      <w:r>
        <w:t xml:space="preserve">(1) Ist zu einer Leistung des Schuldners eine Genehmigung erforderlich, so kann ein Urteil vor Erteilung der Genehmigung nur dann ergehen, wenn in die Urteilsformel ein Vorbehalt aufgenommen wird, dass die Leistung oder Zwangsvollstreckung erst erfolgen darf, wenn die Genehmigung erteilt ist. Entsprechendes gilt für andere Vollstreckungstitel, wenn die Vollstreckung nur auf Grund einer vollstreckbaren Ausfertigung des Titels durchgeführt werden kann. Arreste und einstweilige Verfügungen, die lediglich der Sicherung des zugrunde liegenden Anspruchs dienen, können ohne Vorbehalt ergehen.</w:t>
      </w:r>
    </w:p>
    <w:p>
      <w:r>
        <w:t xml:space="preserve">(2) Ist zu einer Leistung des Schuldners eine Genehmigung erforderlich, so ist eine Zwangsvollstreckung nur zulässig, wenn und soweit die Genehmigung erteilt ist. Soweit Vermögenswerte nur mit Genehmigung erworben oder veräußert werden dürfen, gilt dies auch für den Erwerb und die Veräußerung im Wege der Zwangsvollstreckung.</w:t>
      </w:r>
    </w:p>
    <w:p>
      <w:r>
        <w:rPr>
          <w:color w:val="555555"/>
          <w:sz w:val="17"/>
        </w:rPr>
        <w:t xml:space="preserve">Zitiervorschlag: § 16 AWG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https://recht.nulegal.eu/gesetze/AWG%202013/16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