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AWG 2013 — Rechtsunwirksamkeit</w:t>
      </w:r>
    </w:p>
    <w:p>
      <w:r>
        <w:rPr>
          <w:color w:val="555555"/>
          <w:sz w:val="18"/>
        </w:rPr>
        <w:t xml:space="preserve">Außenwirtschaftsgesetz</w:t>
      </w:r>
    </w:p>
    <w:p>
      <w:r>
        <w:rPr>
          <w:color w:val="555555"/>
          <w:sz w:val="18"/>
        </w:rPr>
        <w:t xml:space="preserve">Stand: 28.01.2023 (konsolidierte Textfassung, kein amtliches Inkrafttretensdatum)</w:t>
      </w:r>
    </w:p>
    <w:p>
      <w:r>
        <w:t xml:space="preserve">(1) Ein Rechtsgeschäft, das ohne die erforderliche Genehmigung vorgenommen wird, ist unwirksam. Es wird vom Zeitpunkt seiner Vornahme an wirksam, wenn es nachträglich genehmigt wird oder das Genehmigungserfordernis nachträglich entfällt. Durch die Rückwirkung werden Rechte Dritter, die vor der Genehmigung an dem Gegenstand des Rechtsgeschäfts begründet worden sind, nicht berührt.</w:t>
      </w:r>
    </w:p>
    <w:p>
      <w:r>
        <w:t xml:space="preserve">(2) Besteht für ein schuldrechtliches Rechtsgeschäft über den Erwerb eines inländischen Unternehmens oder einer unmittelbaren oder mittelbaren Beteiligung an einem inländischen Unternehmen ein Prüfrecht auf Grund von § 4 Absatz 1 Nummer 4 und 4a und § 5 Absatz 2 oder von § 4 Absatz 1 Nummer 1 und § 5 Absatz 3 jeweils in Verbindung mit einer auf Grund dieser Vorschriften erlassenen Rechtsverordnung, so steht der Eintritt der Rechtswirkungen des Rechtsgeschäfts bis zum Abschluss des Prüfverfahrens unter der auflösenden Bedingung, dass das Bundesministerium für Wirtschaft und Energie den Erwerb nach den vorstehend genannten Vorschriften innerhalb der in § 14a geregelten Fristen untersagt.</w:t>
      </w:r>
    </w:p>
    <w:p>
      <w:r>
        <w:t xml:space="preserve">(3) Ein Rechtsgeschäft, das dem Vollzug des Erwerbs eines inländischen Unternehmens oder einer unmittelbaren oder mittelbaren Beteiligung an einem inländischen Unternehmen dient, ist schwebend unwirksam, wenn auf Grund von § 4 Absatz 1 Nummer 4 und 4a und § 5 Absatz 2 oder von § 4 Absatz 1 Nummer 1 und § 5 Absatz 3 jeweils in Verbindung mit einer auf Grund dieser Vorschriften erlassenen Rechtsverordnung</w:t>
      </w:r>
    </w:p>
    <w:p>
      <w:pPr>
        <w:ind w:left="420"/>
      </w:pPr>
      <w:r>
        <w:t xml:space="preserve">1. ein Prüfrecht im Sinne des Absatzes 2 besteht und</w:t>
      </w:r>
    </w:p>
    <w:p>
      <w:pPr>
        <w:ind w:left="420"/>
      </w:pPr>
      <w:r>
        <w:t xml:space="preserve">2. der Abschluss des schuldrechtlichen Rechtsgeschäftes zu melden ist.</w:t>
      </w:r>
    </w:p>
    <w:p>
      <w:r>
        <w:t xml:space="preserve">Das Rechtsgeschäft wird vom Zeitpunkt seiner Vornahme an wirksam, wenn das Bundesministerium für Wirtschaft und Energie nach den in Satz 1 genannten Vorschriften den Erwerb freigibt oder nicht innerhalb der in § 14a geregelten Fristen untersagt oder die Freigabe des Erwerbs als erteilt gilt. Absatz 1 Satz 3 gilt entsprechend.</w:t>
      </w:r>
    </w:p>
    <w:p>
      <w:r>
        <w:t xml:space="preserve">(4) In den Fällen, in denen ein Rechtsgeschäft nach Absatz 3 schwebend unwirksam ist, ist es, bis das Bundesministerium für Wirtschaft und Energie nach den in Absatz 2 Satz 1 genannten Vorschriften den Erwerb freigibt oder nicht innerhalb der in § 14a geregelten Fristen untersagt oder die Freigabe des Erwerbs als erteilt gilt, verboten,</w:t>
      </w:r>
    </w:p>
    <w:p>
      <w:pPr>
        <w:ind w:left="420"/>
      </w:pPr>
      <w:r>
        <w:t xml:space="preserve">1. die mit dem Erwerb verbundenen Stimmrechte auszuüben,</w:t>
      </w:r>
    </w:p>
    <w:p>
      <w:pPr>
        <w:ind w:left="420"/>
      </w:pPr>
      <w:r>
        <w:t xml:space="preserve">2. (weggefallen)</w:t>
      </w:r>
    </w:p>
    <w:p>
      <w:pPr>
        <w:ind w:left="420"/>
      </w:pPr>
      <w:r>
        <w:t xml:space="preserve">3. dem Erwerber unternehmensbezogene Informationen, einschließlich elektronisch oder auf sonstige Weise gespeicherte Daten, des inländischen Unternehmens zu überlassen oder anderweitig offenzulegen, soweit sich diese Informationen auf Unternehmensbereiche oder Unternehmensgegenstände beziehen, die auf Grund von § 4 Absatz 1 Nummer 4 und 4a und § 5 Absatz 2 oder von § 4 Absatz 1 Nummer 1 und § 5 Absatz 3 jeweils in Verbindung mit einer auf Grund dieser Vorschriften erlassenen Rechtsverordnung die Prüfung im Hinblick auf das Gewährleisten der wesentlichen Sicherheitsinteressen der Bundesrepublik Deutschland auslösen oder im Rahmen der Prüfung einer Beeinträchtigung der öffentlichen Ordnung oder Sicherheit der Bundesrepublik Deutschland besonders zu berücksichtigen sind, oder</w:t>
      </w:r>
    </w:p>
    <w:p>
      <w:pPr>
        <w:ind w:left="420"/>
      </w:pPr>
      <w:r>
        <w:t xml:space="preserve">4. dem Erwerber unternehmensbezogene Informationen, einschließlich elektronisch oder auf sonstige Weise gespeicherte Daten, des inländischen Unternehmens zu überlassen oder anderweitig offenzulegen, die in einer Anordnung nach Satz 2 als bedeutsam bezeichnet sind.</w:t>
      </w:r>
    </w:p>
    <w:p>
      <w:r>
        <w:t xml:space="preserve">Das Bundesministerium für Wirtschaft und Energie kann anordnen, dass über Satz 1 Nummer 3 hinaus bestimmte unternehmensbezogene Informationen, einschließlich elektronisch oder auf sonstige Weise gespeicherter Daten, des inländischen Unternehmens als bedeutsam</w:t>
      </w:r>
    </w:p>
    <w:p>
      <w:pPr>
        <w:ind w:left="420"/>
      </w:pPr>
      <w:r>
        <w:t xml:space="preserve">1. für die wesentlichen Sicherheitsinteressen der Bundesrepublik Deutschland,</w:t>
      </w:r>
    </w:p>
    <w:p>
      <w:pPr>
        <w:ind w:left="420"/>
      </w:pPr>
      <w:r>
        <w:t xml:space="preserve">2. für die öffentliche Ordnung oder Sicherheit</w:t>
      </w:r>
    </w:p>
    <w:p>
      <w:pPr>
        <w:ind w:left="780"/>
      </w:pPr>
      <w:r>
        <w:t xml:space="preserve">a) der Bundesrepublik Deutschland,</w:t>
      </w:r>
    </w:p>
    <w:p>
      <w:pPr>
        <w:ind w:left="780"/>
      </w:pPr>
      <w:r>
        <w:t xml:space="preserve">b) eines anderen Mitgliedstaates der Europäischen Union oder</w:t>
      </w:r>
    </w:p>
    <w:p>
      <w:pPr>
        <w:ind w:left="780"/>
      </w:pPr>
      <w:r>
        <w:t xml:space="preserve">c) in Bezug auf Projekte oder Programme von Unionsinteresse im Sinne von Artikel 8 der Verordnung (EU) 2019/452</w:t>
      </w:r>
    </w:p>
    <w:p>
      <w:r>
        <w:t xml:space="preserve">gelten, soweit dies erforderlich ist, um einen vorzeitigen Vollzug eines Rechtsgeschäftes im Sinne des Absatzes 2 zu verhindern.</w:t>
      </w:r>
    </w:p>
    <w:p>
      <w:r>
        <w:t xml:space="preserve">(5) Durch Rechtsverordnung können</w:t>
      </w:r>
    </w:p>
    <w:p>
      <w:pPr>
        <w:ind w:left="420"/>
      </w:pPr>
      <w:r>
        <w:t xml:space="preserve">1. Ausnahmen von Absatz 3, insbesondere für schuldrechtliche Rechtsgeschäfte über den Erwerb, bei denen die unmittelbare oder mittelbare Beteiligung an einem inländischen Unternehmen mittels eines Rechtsgeschäfts mit Wertpapieren, einschließlich solchen, die in andere zum Handel an einer Börse oder an einem ähnlichen Markt zugelassene Wertpapiere konvertierbar sind, über eine Börse erworben wird, geregelt werden,</w:t>
      </w:r>
    </w:p>
    <w:p>
      <w:pPr>
        <w:ind w:left="420"/>
      </w:pPr>
      <w:r>
        <w:t xml:space="preserve">2. für den Fall der Untersagung eines Erwerbs geregelt werden, dass der Vollzug schuldrechtlicher Rechtsgeschäfte über den Erwerb rückgängig zu machen ist, insbesondere Stimmrechtsanteile, die auf Grund von Rechtsgeschäften im Sinne der Nummer 1 erworben worden sind, innerhalb eines bestimmten Zeitraums wieder zu veräußern sind.</w:t>
      </w:r>
    </w:p>
    <w:p>
      <w:r>
        <w:t xml:space="preserve">In Rechtsverordnungen nach Satz 1 können ferner geregelt werden,</w:t>
      </w:r>
    </w:p>
    <w:p>
      <w:pPr>
        <w:ind w:left="420"/>
      </w:pPr>
      <w:r>
        <w:t xml:space="preserve">1. die Untersagung oder die Einschränkung der Ausübung von Stimmrechten,</w:t>
      </w:r>
    </w:p>
    <w:p>
      <w:pPr>
        <w:ind w:left="420"/>
      </w:pPr>
      <w:r>
        <w:t xml:space="preserve">2. die Untersagung oder die Einschränkung des Überlassens oder des anderweitigen Offenlegens unternehmensbezogener Informationen im Sinne des Absatzes 4 Satz 1 Nummer 3 oder 4 unmittelbar oder mittelbar an einen Erwerber,</w:t>
      </w:r>
    </w:p>
    <w:p>
      <w:pPr>
        <w:ind w:left="420"/>
      </w:pPr>
      <w:r>
        <w:t xml:space="preserve">3. die Übergabe von Stimmrechtsanteilen an einen Treuhänder,</w:t>
      </w:r>
    </w:p>
    <w:p>
      <w:r>
        <w:t xml:space="preserve">soweit dies erforderlich ist, um die ordnungsgemäße Durchführung eines Prüfverfahrens oder die Wirksamkeit einer Untersagung zu gewährleisten. In den Fällen des Satzes 2 Nummer 3 können in den Rechtsverordnungen nach Satz 1 ferner auch die näheren Einzelheiten über das Verfahren zur Bestellung eines Treuhänders, einschließlich der Kosten und der Vergütung des Treuhänders, geregelt werden.</w:t>
      </w:r>
    </w:p>
    <w:p>
      <w:r>
        <w:rPr>
          <w:color w:val="555555"/>
          <w:sz w:val="17"/>
        </w:rPr>
        <w:t xml:space="preserve">Zitiervorschlag: § 15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