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AWG 2013 — Verwaltungsakte</w:t>
      </w:r>
    </w:p>
    <w:p>
      <w:r>
        <w:rPr>
          <w:color w:val="555555"/>
          <w:sz w:val="18"/>
        </w:rPr>
        <w:t xml:space="preserve">Außenwirtschaftsgesetz</w:t>
      </w:r>
    </w:p>
    <w:p>
      <w:r>
        <w:rPr>
          <w:color w:val="555555"/>
          <w:sz w:val="18"/>
        </w:rPr>
        <w:t xml:space="preserve">Stand: 10.06.2019 (konsolidierte Textfassung, kein amtliches Inkrafttretensdatum)</w:t>
      </w:r>
    </w:p>
    <w:p>
      <w:r>
        <w:t xml:space="preserve">(1) Verwaltungsakte nach diesem Gesetz oder nach einer auf Grund dieses Gesetzes erlassenen Rechtsverordnung können mit Nebenbestimmungen versehen werden. Die Verwaltungsakte sind nicht übertragbar, wenn in ihnen nicht etwas anderes bestimmt wird.</w:t>
      </w:r>
    </w:p>
    <w:p>
      <w:r>
        <w:t xml:space="preserve">(2) Widerspruch und Anfechtungsklage haben keine aufschiebende Wirkung.</w:t>
      </w:r>
    </w:p>
    <w:p>
      <w:r>
        <w:rPr>
          <w:color w:val="555555"/>
          <w:sz w:val="17"/>
        </w:rPr>
        <w:t xml:space="preserve">Zitiervorschlag: § 14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