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AWG 2013 — Zuständigkeiten für den Erlass von Verwaltungsakten und für die Entgegennahme von Meldungen; Vollzug von wirtschaftlichen Sanktionsmaßnahmen</w:t>
      </w:r>
    </w:p>
    <w:p>
      <w:r>
        <w:rPr>
          <w:color w:val="555555"/>
          <w:sz w:val="18"/>
        </w:rPr>
        <w:t xml:space="preserve">Außenwirtschaftsgesetz</w:t>
      </w:r>
    </w:p>
    <w:p>
      <w:r>
        <w:rPr>
          <w:color w:val="555555"/>
          <w:sz w:val="18"/>
        </w:rPr>
        <w:t xml:space="preserve">Stand: 06.02.2026 (konsolidierte Textfassung, kein amtliches Inkrafttretensdatum)</w:t>
      </w:r>
    </w:p>
    <w:p>
      <w:r>
        <w:t xml:space="preserve">(1) Für den Erlass von Verwaltungsakten und die Entgegennahme von Meldungen auf Grund dieses Gesetzes und der nach diesem Gesetz erlassenen Rechtsverordnungen sowie auf Grund von Rechtsakten des Rates oder der Kommission der Europäischen Union im Bereich des Außenwirtschaftsrechts ist das Bundesamt für Wirtschaft und Ausfuhrkontrolle (BAFA) zuständig, soweit in anderen Gesetzen, in diesem Gesetz oder auf Grund einer nach diesem Gesetz erlassenen Rechtsverordnung nichts anderes bestimmt ist.</w:t>
      </w:r>
    </w:p>
    <w:p>
      <w:r>
        <w:t xml:space="preserve">(2) Ausschließlich zuständig sind</w:t>
      </w:r>
    </w:p>
    <w:p>
      <w:pPr>
        <w:ind w:left="420"/>
      </w:pPr>
      <w:r>
        <w:t xml:space="preserve">1. die Deutsche Bundesbank im Bereich des Kapital- und Zahlungsverkehrs sowie des Verkehrs mit Auslandswerten, einschließlich Geldern, die einer Verfügungsbeschränkung unterliegen, und Gold, soweit im Folgenden nichts anderes bestimmt ist,</w:t>
      </w:r>
    </w:p>
    <w:p>
      <w:pPr>
        <w:ind w:left="420"/>
      </w:pPr>
      <w:r>
        <w:t xml:space="preserve">2. das Bundesministerium für Wirtschaft und Energie</w:t>
      </w:r>
    </w:p>
    <w:p>
      <w:pPr>
        <w:ind w:left="780"/>
      </w:pPr>
      <w:r>
        <w:t xml:space="preserve">a) im Fall von § 5a Absatz 3 und § 6 Absatz 1 im Einvernehmen mit dem Auswärtigen Amt und dem Bundesministerium der Finanzen; bei Maßnahmen, welche die Bereiche des Kapital- und Zahlungsverkehrs oder den Verkehr mit Auslandswerten und Gold betreffen, ist das Benehmen mit der Deutschen Bundesbank herzustellen,</w:t>
      </w:r>
    </w:p>
    <w:p>
      <w:pPr>
        <w:ind w:left="780"/>
      </w:pPr>
      <w:r>
        <w:t xml:space="preserve">b) im Fall des § 7 im Einvernehmen mit dem Auswärtigen Amt und dem Bundesministerium für Verkehr und digitale Infrastruktur,</w:t>
      </w:r>
    </w:p>
    <w:p>
      <w:pPr>
        <w:ind w:left="780"/>
      </w:pPr>
      <w:r>
        <w:t xml:space="preserve">c) im Fall des § 4 Absatz 1 Nummer 4 und 4a in Verbindung mit § 5 Absatz 2 und einer auf Grund dieser Vorschriften erlassenen Rechtsverordnung,</w:t>
      </w:r>
    </w:p>
    <w:p>
      <w:pPr>
        <w:ind w:left="780"/>
      </w:pPr>
      <w:r>
        <w:t xml:space="preserve">d) im Fall des § 4 Absatz 1 Nummer 1 in Verbindung mit § 5 Absatz 3 und einer auf Grund dieser Vorschriften erlassenen Rechtsverordnung,</w:t>
      </w:r>
    </w:p>
    <w:p>
      <w:pPr>
        <w:ind w:left="780"/>
      </w:pPr>
      <w:r>
        <w:t xml:space="preserve">e) im Fall des § 6a Absatz 1,</w:t>
      </w:r>
    </w:p>
    <w:p>
      <w:pPr>
        <w:ind w:left="780"/>
      </w:pPr>
      <w:r>
        <w:t xml:space="preserve">f) für die Wahrnehmung der Aufgaben und Befugnisse der Kontaktstelle im Sinne des Artikels 11 Absatz 1 der Verordnung (EU) 2019/425,</w:t>
      </w:r>
    </w:p>
    <w:p>
      <w:pPr>
        <w:ind w:left="420"/>
      </w:pPr>
      <w:r>
        <w:t xml:space="preserve">3. das Bundesministerium für Verkehr und digitale Infrastruktur für Anordnungen im Bereich des Dienstleistungsverkehrs auf dem Gebiet des Verkehrswesens nach § 4 Absatz 1 und 2 in Verbindung mit einer auf Grund dieser Vorschrift erlassenen Rechtsverordnung sowie auf Grund von Rechtsakten des Rates oder der Kommission der Europäischen Union im Bereich des Außenwirtschaftsrechts,</w:t>
      </w:r>
    </w:p>
    <w:p>
      <w:pPr>
        <w:ind w:left="420"/>
      </w:pPr>
      <w:r>
        <w:t xml:space="preserve">4. das Bundesministerium der Finanzen für Anordnungen im Bereich des Dienstleistungsverkehrs auf dem Gebiet des Versicherungswesens nach § 4 Absatz 1 und 2 in Verbindung mit einer auf Grund dieser Vorschrift erlassenen Rechtsverordnung sowie auf Grund von Rechtsakten des Rates oder der Kommission der Europäischen Union im Bereich des Außenwirtschaftsrechts,</w:t>
      </w:r>
    </w:p>
    <w:p>
      <w:pPr>
        <w:ind w:left="420"/>
      </w:pPr>
      <w:r>
        <w:t xml:space="preserve">5. die Bundesanstalt für Landwirtschaft und Ernährung für Anordnungen im Bereich des Waren- und Dienstleistungsverkehrs nach § 4 Absatz 1 und 2 in Verbindung mit einer auf Grund dieser Vorschrift erlassenen Rechtsverordnung im Rahmen der gemeinsamen Marktorganisationen der Europäischen Union für Erzeugnisse der Ernährungs- und Landwirtschaft.</w:t>
      </w:r>
    </w:p>
    <w:p>
      <w:r>
        <w:t xml:space="preserve">(2a) Abweichend von den Absätzen 1 und 2 Nummer 1 ist für die Entgegennahme von Meldungen bestimmter Personen oder rechtsfähiger Personengesellschaften, denen nach einem im Amtsblatt der Europäischen Gemeinschaften oder der Europäischen Union veröffentlichten unmittelbar geltenden Rechtsakt der Europäischen Gemeinschaften oder der Europäischen Union, der der Durchführung einer im Rat der Europäischen Union im Bereich der Gemeinsamen Außen- und Sicherheitspolitik beschlossenen wirtschaftlichen Sanktionsmaßnahme dient, weder unmittelbar noch mittelbar Gelder oder wirtschaftliche Ressourcen zur Verfügung gestellt werden oder zu Gute kommen dürfen, aufgrund einer Meldepflicht nach diesem Rechtsakt, die Zentralstelle für Sanktionsdurchsetzung zuständig. Eine Meldung nach Satz 1 ist nicht erforderlich, soweit gegenüber der Zentralstelle für Sanktionsdurchsetzung eine Meldung über Gelder oder wirtschaftliche Ressourcen nach einer anderen Rechtsvorschrift abgegeben wurde.</w:t>
      </w:r>
    </w:p>
    <w:p>
      <w:r>
        <w:t xml:space="preserve">(3) Im Fall des Absatzes 2 Nummer 2 Buchstabe c bedarf eine Untersagung der Zustimmung der Bundesregierung. Anordnungen bedürfen des Einvernehmens mit dem Auswärtigen Amt, dem Bundesministerium des Innern, für Bau und Heimat und dem Bundesministerium der Verteidigung sowie des Benehmens mit dem Bundesministerium der Finanzen.</w:t>
      </w:r>
    </w:p>
    <w:p>
      <w:r>
        <w:t xml:space="preserve">(4) Im Fall des Absatzes 2 Nummer 2 Buchstabe d bedürfen Untersagungen oder Anordnungen des Einvernehmens mit dem Auswärtigen Amt, dem Bundesministerium des Innern, für Bau und Heimat und dem Bundesministerium der Verteidigung.</w:t>
      </w:r>
    </w:p>
    <w:p>
      <w:r>
        <w:t xml:space="preserve">(5) In den Fällen des Absatzes 2 Nummer 3 und 4 kann das zuständige Bundesministerium seine Zuständigkeit für die dort genannte Aufgabenwahrnehmung auf eine Bundesoberbehörde oder Bundesanstalt seines Geschäftsbereichs übertragen.</w:t>
      </w:r>
    </w:p>
    <w:p>
      <w:r>
        <w:t xml:space="preserve">(6) Bei Gefahr im Verzug hat das Bundesministerium für Wirtschaft und Energie abweichend von Absatz 2 Nummer 2 Buchstabe a lediglich das Benehmen mit dem Auswärtigen Amt, dem Bundesministerium der Finanzen und der Deutschen Bundesbank herzustellen.</w:t>
      </w:r>
    </w:p>
    <w:p>
      <w:r>
        <w:t xml:space="preserve">(7) Bei dem Vollzug von Beschränkungen und Handlungspflichten auf Grund einer vom Rat der Europäischen Union im Bereich der Gemeinsamen Außen- und Sicherheitspolitik beschlossenen wirtschaftlichen Sanktionsmaßnahme, einschließlich der Durchsetzung der in § 18 Absatz 1 Nummer 2 genannten Pflichten, können die Amtsträger der nach diesem Gesetz und dem Sanktionsdurchsetzungsgesetz zuständigen Behörden in Ausübung ihres pflichtgemäßen Ermessens einem priorisierenden Ansatz folgen. Bei der Priorisierung kann insbesondere auf die Art und Bedeutung der Gefahren für die in Beschlüssen des Rates der Europäischen Union über wirtschaftliche Sanktionsmaßnahmen im Bereich der Gemeinsamen Außen- und Sicherheitspolitik genannten Ziele abgestellt werden.</w:t>
      </w:r>
    </w:p>
    <w:p>
      <w:r>
        <w:rPr>
          <w:color w:val="555555"/>
          <w:sz w:val="17"/>
        </w:rPr>
        <w:t xml:space="preserve">Zitiervorschlag: § 13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