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AWFachwBAProFV — Inkrafttreten, Außerkrafttreten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Diese Verordnung tritt am Tag nach der Verkündung in Kraft. Gleichzeitig tritt die Außenwirtschaftsfachwirtprüfungsverordnung vom 5. Juni 2017 (BGBl. I S. 1574), die durch Artikel 80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18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