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AVwGebO NRW (Nordrhein-Westfalen) — Inkrafttreten, Außerkrafttreten</w:t>
      </w:r>
    </w:p>
    <w:p>
      <w:r>
        <w:rPr>
          <w:color w:val="555555"/>
          <w:sz w:val="18"/>
        </w:rPr>
        <w:t xml:space="preserve">Allgemeine Verwaltungsgebührenordnung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Allgemeine Verwaltungsgebührenordnung vom 3. Juli 2001 (GV. NRW. 262), die zuletzt durch Artikel 2 der Verordnung vom 13. April 2022 (GV. NRW. S. 554) geändert worden ist, außer Kraft.</w:t>
      </w:r>
    </w:p>
    <w:p>
      <w:r>
        <w:rPr>
          <w:color w:val="555555"/>
          <w:sz w:val="17"/>
        </w:rPr>
        <w:t xml:space="preserve">Zitiervorschlag: § 6 AVwGebO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https://recht.nulegal.eu/gesetze/AVwGebO%20NRW/6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