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AVwGebO NRW (Nordrhein-Westfalen) — Amtliches Vermessungswesen und amtliche Grundstückswertermittlung</w:t>
      </w:r>
    </w:p>
    <w:p>
      <w:r>
        <w:rPr>
          <w:color w:val="555555"/>
          <w:sz w:val="18"/>
        </w:rPr>
        <w:t xml:space="preserve">Allgemeine Verwaltungsgebührenordnung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Gebührenordnung für das amtliche Vermessungswesen und die amtliche Grundstückswertermittlung erlässt das für Inneres zuständige Ministerium im Einvernehmen mit dem für Finanzen zuständigen Ministerium.</w:t>
      </w:r>
    </w:p>
    <w:p>
      <w:r>
        <w:rPr>
          <w:color w:val="555555"/>
          <w:sz w:val="17"/>
        </w:rPr>
        <w:t xml:space="preserve">Zitiervorschlag: § 5 AVwGebO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https://recht.nulegal.eu/gesetze/AVwGebO%20NRW/5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