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AVwGebO NRW (Nordrhein-Westfalen) — Pauschale Vorausfestsetzung bei mehrfachen Amtshandlungen</w:t>
      </w:r>
    </w:p>
    <w:p>
      <w:r>
        <w:rPr>
          <w:color w:val="555555"/>
          <w:sz w:val="18"/>
        </w:rPr>
        <w:t xml:space="preserve">Allgemeine Verwaltungsgebührenordnung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Abgeltung mehrfacher Amtshandlungen, die denselben Schuldner und dieselbe Tarifstelle betreffen, können die Gebühren für einen im Voraus zu bestimmenden Zeitraum von höchstens einem Jahr auf Antrag pauschal festgesetzt werden.</w:t>
      </w:r>
    </w:p>
    <w:p>
      <w:r>
        <w:rPr>
          <w:color w:val="555555"/>
          <w:sz w:val="17"/>
        </w:rPr>
        <w:t xml:space="preserve">Zitiervorschlag: § 2 AVwGebO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https://recht.nulegal.eu/gesetze/AVwGebO%20NRW/2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