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AVwGebO NRW (Nordrhein-Westfalen) — Anwendungsbereich, Abweichungsverbot</w:t>
      </w:r>
    </w:p>
    <w:p>
      <w:r>
        <w:rPr>
          <w:color w:val="555555"/>
          <w:sz w:val="18"/>
        </w:rPr>
        <w:t xml:space="preserve">Allgemeine Verwaltungsgebührenordnung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im anliegenden Allgemeinen Gebührentarif (Anlage) und dessen Anhängen genannten Amtshandlungen werden die dort genannten Kosten erhoben.</w:t>
      </w:r>
    </w:p>
    <w:p>
      <w:r>
        <w:t xml:space="preserve">(2) Die für die Gemeinden und Gemeindeverbände in § 2 Absatz 3 Gebührengesetz NRW in der Fassung der Bekanntmachung vom 23. August 1999 (GV. NRW. S. 524) in der jeweils geltenden Fassung enthaltene Ermächtigung, für die in dieser Gebührenordnung erfassten Amtshandlungen eigene Gebührenordnungen (Satzungen) mit abweichenden Gebührensätzen zu erlassen, gilt nicht</w:t>
      </w:r>
    </w:p>
    <w:p>
      <w:r>
        <w:t xml:space="preserve">1. für die Tarifstellen 4.3.7.6.1, 4.6.1 bis 4.6.7.1,</w:t>
      </w:r>
    </w:p>
    <w:p>
      <w:r>
        <w:t xml:space="preserve">2. für die Tarifstellen 8.2.1 bis 8.2.3.3,</w:t>
      </w:r>
    </w:p>
    <w:p>
      <w:r>
        <w:t xml:space="preserve">3. für die Tarifstellen 12.1.3.1.1 bis 12.1.3.3, 12.1.4.1 bis 12.1.4.13, 12.1.5.1.10 bis 12.1.5.1.10.5, 12.1.5.1.16 bis 12.1.5.16.2, 12.1.9.1, 12.1.9.2, 12.1.12.9 bis 12.1.12.11, 12.1.13.1, 12.1.14.1, 12.1.14.2, 12.1.15.1 bis 12.1.15.4.</w:t>
      </w:r>
    </w:p>
    <w:p>
      <w:r>
        <w:rPr>
          <w:color w:val="555555"/>
          <w:sz w:val="17"/>
        </w:rPr>
        <w:t xml:space="preserve">Zitiervorschlag: § 1 AVwGebO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https://recht.nulegal.eu/gesetze/AVwGebO%20NRW/1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AVwGebO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