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AVfV (Bayern) — Nachweis der Schulnoten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das Auswahlverfahren einzubeziehenden Schulnoten sind bis zu einem vom Prüfungsamt jeweils festzusetzenden Termin durch schriftliche oder elektronische Bescheinigung der Schule nachzuweisen.</w:t>
      </w:r>
    </w:p>
    <w:p>
      <w:r>
        <w:t xml:space="preserve">(2) Bewerber, bei denen der Nachweis gemäß Abs. 1 nicht bis zum festgesetzten Termin vorliegt, werden unabhängig von der Teilnahme an der Auswahlprüfung vom Auswahlverfahren ausgeschlossen.</w:t>
      </w:r>
    </w:p>
    <w:p>
      <w:r>
        <w:rPr>
          <w:color w:val="555555"/>
          <w:sz w:val="17"/>
        </w:rPr>
        <w:t xml:space="preserve">Zitiervorschlag: § 8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