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AVfV (Bayern) — Nichtbestehen des Auswahlverfahrens</w:t>
      </w:r>
    </w:p>
    <w:p>
      <w:r>
        <w:rPr>
          <w:color w:val="555555"/>
          <w:sz w:val="18"/>
        </w:rPr>
        <w:t xml:space="preserve">Auswahlverfahrensordnung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Auswahlverfahren ist nicht erfolgreich abgeschlossen, wenn</w:t>
      </w:r>
    </w:p>
    <w:p>
      <w:r>
        <w:t xml:space="preserve">– der Bewerber nicht an der Auswahlprüfung teilnimmt,</w:t>
      </w:r>
    </w:p>
    <w:p>
      <w:r>
        <w:t xml:space="preserve">– der Nachweis der einzubeziehenden Schulnoten nicht erbracht wird oder</w:t>
      </w:r>
    </w:p>
    <w:p>
      <w:r>
        <w:t xml:space="preserve">– die errechnete Gesamtnote schlechter als „4,00“ ist.</w:t>
      </w:r>
    </w:p>
    <w:p>
      <w:r>
        <w:rPr>
          <w:color w:val="555555"/>
          <w:sz w:val="17"/>
        </w:rPr>
        <w:t xml:space="preserve">Zitiervorschlag: § 12 AVfV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https://recht.nulegal.eu/gesetze/AVfV/12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