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AVWpG (Bayern) — Verwahrung der Siegel</w:t>
      </w:r>
    </w:p>
    <w:p>
      <w:r>
        <w:rPr>
          <w:color w:val="555555"/>
          <w:sz w:val="18"/>
        </w:rPr>
        <w:t xml:space="preserve">Ausführungsverordnung Wappengesetz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Dienstsiegel sind so zu verwahren, dass Verlust und Missbrauch ausgeschlossen sind.</w:t>
      </w:r>
    </w:p>
    <w:p>
      <w:r>
        <w:rPr>
          <w:color w:val="555555"/>
          <w:sz w:val="17"/>
        </w:rPr>
        <w:t xml:space="preserve">Zitiervorschlag: § 9 AVWpG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https://recht.nulegal.eu/gesetze/AVWpG/9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