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AVWpG (Bayern) — Größe der Siegel</w:t>
      </w:r>
    </w:p>
    <w:p>
      <w:r>
        <w:rPr>
          <w:color w:val="555555"/>
          <w:sz w:val="18"/>
        </w:rPr>
        <w:t xml:space="preserve">Ausführungsverordnung Wappengesetz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Siegel mit dem großen Staatswappen haben in den Fällen des Art. 2 Abs. 2 Satz 1 WappenG einen Durchmesser von 40 mm, in den übrigen Fällen einen Durchmesser von 35 mm. Siegel mit dem kleinen Staatswappen haben einen Durchmesser von 35 mm.</w:t>
      </w:r>
    </w:p>
    <w:p>
      <w:r>
        <w:t xml:space="preserve">(2) Für besondere Zwecke kann ausnahmsweise ein Siegel mit einem kleineren Durchmesser hergestellt werden.</w:t>
      </w:r>
    </w:p>
    <w:p>
      <w:r>
        <w:rPr>
          <w:color w:val="555555"/>
          <w:sz w:val="17"/>
        </w:rPr>
        <w:t xml:space="preserve">Zitiervorschlag: § 7 AVWpG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https://recht.nulegal.eu/gesetze/AVWpG/7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