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AVWpG (Bayern) — Genehmigung zur Verwendung der Staatswappen</w:t>
      </w:r>
    </w:p>
    <w:p>
      <w:r>
        <w:rPr>
          <w:color w:val="555555"/>
          <w:sz w:val="18"/>
        </w:rPr>
        <w:t xml:space="preserve">Ausführungsverordnung Wappengesetz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Genehmigung zur Verwendung der Staatswappen oder von Teilen der Staatswappen nach Art. 2 Abs. 1 Satz 2 des Gesetzes über das Wappen des Freistaates Bayern (WappenG) ist die Regierung von Oberfranken zuständig.</w:t>
      </w:r>
    </w:p>
    <w:p>
      <w:r>
        <w:rPr>
          <w:color w:val="555555"/>
          <w:sz w:val="17"/>
        </w:rPr>
        <w:t xml:space="preserve">Zitiervorschlag: § 5 AVWpG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https://recht.nulegal.eu/gesetze/AVWpG/5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