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AVWpG (Bayern) — Sonderfälle der Führung des kleinen Staatswappens</w:t>
      </w:r>
    </w:p>
    <w:p>
      <w:r>
        <w:rPr>
          <w:color w:val="555555"/>
          <w:sz w:val="18"/>
        </w:rPr>
        <w:t xml:space="preserve">Ausführungsverordnung Wappengesetz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kleine Staatswappen führen außerdem:</w:t>
      </w:r>
    </w:p>
    <w:p>
      <w:r>
        <w:t xml:space="preserve">1. Die Standesbeamten</w:t>
      </w:r>
    </w:p>
    <w:p>
      <w:r>
        <w:t xml:space="preserve">Die Umschrift im Dienstsiegel lautet im unteren Halbbogen „Standesamt …“ (Amtssitz).</w:t>
      </w:r>
    </w:p>
    <w:p>
      <w:r>
        <w:t xml:space="preserve">2. Die Notare</w:t>
      </w:r>
    </w:p>
    <w:p>
      <w:r>
        <w:t xml:space="preserve">Die Umschrift im Dienstsiegel enthält im unteren Halbbogen den Namen des Notars und die Wörter „Notar in …“ (Ort).</w:t>
      </w:r>
    </w:p>
    <w:p>
      <w:r>
        <w:t xml:space="preserve">3. Die kommunalen Schulen, wenn der Träger der Schule das kleine Staatswappen führt.</w:t>
      </w:r>
    </w:p>
    <w:p>
      <w:r>
        <w:t xml:space="preserve">Die Umschrift entspricht der Umschrift im Dienstsiegel des Schulträgers. In den unteren Halbbogen kann in einer weiteren Schriftenreihe der Name der Schule oder die Bezeichnung der Schulgattung aufgenommen werden.</w:t>
      </w:r>
    </w:p>
    <w:p>
      <w:r>
        <w:t xml:space="preserve">4. Die der Aufsicht bayerischer Staatsbehörden unterstehenden Körperschaften, Anstalten und Stiftungen des öffentlichen Rechts, die hoheitliche Aufgaben wahrnehmen.</w:t>
      </w:r>
    </w:p>
    <w:p>
      <w:r>
        <w:rPr>
          <w:color w:val="555555"/>
          <w:sz w:val="17"/>
        </w:rPr>
        <w:t xml:space="preserve">Zitiervorschlag: § 3 AVWpG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https://recht.nulegal.eu/gesetze/AVWpG/3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