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AVWaffBeschR (Bayern)</w:t>
      </w:r>
    </w:p>
    <w:p>
      <w:r>
        <w:rPr>
          <w:color w:val="555555"/>
          <w:sz w:val="18"/>
        </w:rPr>
        <w:t xml:space="preserve">Verordnung zur Ausführung des Waffen- und Beschussrechts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14. Dezember 2010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AVWaffBeschR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https://recht.nulegal.eu/gesetze/AVWaffBeschR/schlussformel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